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93" w:type="dxa"/>
        <w:tblLayout w:type="fixed"/>
        <w:tblLook w:val="04A0" w:firstRow="1" w:lastRow="0" w:firstColumn="1" w:lastColumn="0" w:noHBand="0" w:noVBand="1"/>
      </w:tblPr>
      <w:tblGrid>
        <w:gridCol w:w="7371"/>
        <w:gridCol w:w="1167"/>
        <w:gridCol w:w="1701"/>
        <w:gridCol w:w="1243"/>
        <w:gridCol w:w="1276"/>
        <w:gridCol w:w="2835"/>
      </w:tblGrid>
      <w:tr w:rsidR="00C43F49" w:rsidRPr="00C43F49" w:rsidTr="00662E1B">
        <w:trPr>
          <w:trHeight w:val="510"/>
        </w:trPr>
        <w:tc>
          <w:tcPr>
            <w:tcW w:w="7371" w:type="dxa"/>
            <w:tcBorders>
              <w:top w:val="nil"/>
              <w:left w:val="nil"/>
              <w:bottom w:val="nil"/>
              <w:right w:val="nil"/>
            </w:tcBorders>
            <w:shd w:val="clear" w:color="auto" w:fill="auto"/>
            <w:noWrap/>
            <w:vAlign w:val="bottom"/>
            <w:hideMark/>
          </w:tcPr>
          <w:p w:rsidR="003E4DA1" w:rsidRPr="00C43F49" w:rsidRDefault="003E4DA1" w:rsidP="008645ED">
            <w:pPr>
              <w:keepNext/>
              <w:spacing w:after="0" w:line="240" w:lineRule="auto"/>
              <w:rPr>
                <w:rFonts w:ascii="Times New Roman" w:eastAsia="Times New Roman" w:hAnsi="Times New Roman" w:cs="Times New Roman"/>
                <w:sz w:val="16"/>
                <w:szCs w:val="16"/>
                <w:lang w:eastAsia="uk-UA"/>
              </w:rPr>
            </w:pPr>
          </w:p>
        </w:tc>
        <w:tc>
          <w:tcPr>
            <w:tcW w:w="1167" w:type="dxa"/>
            <w:tcBorders>
              <w:top w:val="nil"/>
              <w:left w:val="nil"/>
              <w:bottom w:val="nil"/>
              <w:right w:val="nil"/>
            </w:tcBorders>
            <w:shd w:val="clear" w:color="000000" w:fill="FFFFFF"/>
            <w:noWrap/>
            <w:vAlign w:val="bottom"/>
            <w:hideMark/>
          </w:tcPr>
          <w:p w:rsidR="003E4DA1" w:rsidRPr="00C43F49" w:rsidRDefault="003E4DA1" w:rsidP="008645ED">
            <w:pPr>
              <w:keepNext/>
              <w:spacing w:after="0" w:line="240" w:lineRule="auto"/>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w:t>
            </w:r>
          </w:p>
        </w:tc>
        <w:tc>
          <w:tcPr>
            <w:tcW w:w="4220" w:type="dxa"/>
            <w:gridSpan w:val="3"/>
            <w:tcBorders>
              <w:top w:val="nil"/>
              <w:left w:val="nil"/>
              <w:bottom w:val="nil"/>
              <w:right w:val="nil"/>
            </w:tcBorders>
            <w:shd w:val="clear" w:color="000000" w:fill="FFFFFF"/>
            <w:hideMark/>
          </w:tcPr>
          <w:p w:rsidR="003E4DA1" w:rsidRPr="00C43F49" w:rsidRDefault="003E4DA1" w:rsidP="008645ED">
            <w:pPr>
              <w:keepNext/>
              <w:spacing w:after="0" w:line="240" w:lineRule="auto"/>
              <w:jc w:val="right"/>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w:t>
            </w:r>
          </w:p>
        </w:tc>
        <w:tc>
          <w:tcPr>
            <w:tcW w:w="2835" w:type="dxa"/>
            <w:tcBorders>
              <w:top w:val="nil"/>
              <w:left w:val="nil"/>
              <w:bottom w:val="nil"/>
              <w:right w:val="nil"/>
            </w:tcBorders>
            <w:shd w:val="clear" w:color="000000" w:fill="FFFFFF"/>
            <w:noWrap/>
            <w:vAlign w:val="bottom"/>
            <w:hideMark/>
          </w:tcPr>
          <w:p w:rsidR="003E4DA1" w:rsidRPr="00C43F49" w:rsidRDefault="003E4DA1" w:rsidP="008645ED">
            <w:pPr>
              <w:keepNext/>
              <w:spacing w:after="0" w:line="240" w:lineRule="auto"/>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w:t>
            </w:r>
          </w:p>
        </w:tc>
      </w:tr>
      <w:tr w:rsidR="00C43F49" w:rsidRPr="00C43F49" w:rsidTr="00662E1B">
        <w:trPr>
          <w:trHeight w:val="201"/>
        </w:trPr>
        <w:tc>
          <w:tcPr>
            <w:tcW w:w="15593" w:type="dxa"/>
            <w:gridSpan w:val="6"/>
            <w:tcBorders>
              <w:top w:val="nil"/>
              <w:left w:val="nil"/>
              <w:bottom w:val="nil"/>
              <w:right w:val="nil"/>
            </w:tcBorders>
            <w:shd w:val="clear" w:color="000000" w:fill="FFFFFF"/>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ДОДАТОК ДО РІЧНОГО ПЛАНУ ЗАКУПІВЕЛЬ</w:t>
            </w:r>
          </w:p>
        </w:tc>
      </w:tr>
      <w:tr w:rsidR="00C43F49" w:rsidRPr="00C43F49" w:rsidTr="00662E1B">
        <w:trPr>
          <w:trHeight w:val="133"/>
        </w:trPr>
        <w:tc>
          <w:tcPr>
            <w:tcW w:w="15593" w:type="dxa"/>
            <w:gridSpan w:val="6"/>
            <w:tcBorders>
              <w:top w:val="nil"/>
              <w:left w:val="nil"/>
              <w:bottom w:val="nil"/>
              <w:right w:val="nil"/>
            </w:tcBorders>
            <w:shd w:val="clear" w:color="000000" w:fill="FFFFFF"/>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на 2016 рік</w:t>
            </w:r>
          </w:p>
        </w:tc>
      </w:tr>
      <w:tr w:rsidR="00C43F49" w:rsidRPr="00C43F49" w:rsidTr="00662E1B">
        <w:trPr>
          <w:trHeight w:val="241"/>
        </w:trPr>
        <w:tc>
          <w:tcPr>
            <w:tcW w:w="15593" w:type="dxa"/>
            <w:gridSpan w:val="6"/>
            <w:tcBorders>
              <w:top w:val="nil"/>
              <w:left w:val="nil"/>
              <w:bottom w:val="nil"/>
              <w:right w:val="nil"/>
            </w:tcBorders>
            <w:shd w:val="clear" w:color="000000" w:fill="FFFFFF"/>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u w:val="single"/>
                <w:lang w:eastAsia="uk-UA"/>
              </w:rPr>
            </w:pPr>
            <w:r w:rsidRPr="00C43F49">
              <w:rPr>
                <w:rFonts w:ascii="Times New Roman" w:eastAsia="Times New Roman" w:hAnsi="Times New Roman" w:cs="Times New Roman"/>
                <w:b/>
                <w:bCs/>
                <w:sz w:val="16"/>
                <w:szCs w:val="16"/>
                <w:u w:val="single"/>
                <w:lang w:eastAsia="uk-UA"/>
              </w:rPr>
              <w:t>Державна  служба геології та надр України, 37536031</w:t>
            </w:r>
          </w:p>
        </w:tc>
      </w:tr>
      <w:tr w:rsidR="00C43F49" w:rsidRPr="00C43F49" w:rsidTr="00662E1B">
        <w:trPr>
          <w:trHeight w:val="315"/>
        </w:trPr>
        <w:tc>
          <w:tcPr>
            <w:tcW w:w="15593" w:type="dxa"/>
            <w:gridSpan w:val="6"/>
            <w:tcBorders>
              <w:top w:val="nil"/>
              <w:left w:val="nil"/>
              <w:bottom w:val="nil"/>
              <w:right w:val="nil"/>
            </w:tcBorders>
            <w:shd w:val="clear" w:color="000000" w:fill="FFFFFF"/>
            <w:hideMark/>
          </w:tcPr>
          <w:p w:rsidR="003E4DA1" w:rsidRPr="00C43F49" w:rsidRDefault="003E4DA1" w:rsidP="008645ED">
            <w:pPr>
              <w:keepNext/>
              <w:spacing w:after="0" w:line="240" w:lineRule="auto"/>
              <w:jc w:val="center"/>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(найменування замовника,  код за ЄДРПОУ)</w:t>
            </w:r>
          </w:p>
        </w:tc>
      </w:tr>
      <w:tr w:rsidR="00C43F49" w:rsidRPr="00C43F49" w:rsidTr="00662E1B">
        <w:trPr>
          <w:trHeight w:val="135"/>
        </w:trPr>
        <w:tc>
          <w:tcPr>
            <w:tcW w:w="7371" w:type="dxa"/>
            <w:tcBorders>
              <w:top w:val="nil"/>
              <w:left w:val="nil"/>
              <w:bottom w:val="single" w:sz="4" w:space="0" w:color="auto"/>
              <w:right w:val="nil"/>
            </w:tcBorders>
            <w:shd w:val="clear" w:color="auto" w:fill="auto"/>
            <w:hideMark/>
          </w:tcPr>
          <w:p w:rsidR="003E4DA1" w:rsidRPr="00C43F49" w:rsidRDefault="003E4DA1" w:rsidP="008645ED">
            <w:pPr>
              <w:keepNext/>
              <w:spacing w:after="0" w:line="240" w:lineRule="auto"/>
              <w:jc w:val="center"/>
              <w:rPr>
                <w:rFonts w:ascii="Times New Roman" w:eastAsia="Times New Roman" w:hAnsi="Times New Roman" w:cs="Times New Roman"/>
                <w:sz w:val="16"/>
                <w:szCs w:val="16"/>
                <w:lang w:eastAsia="uk-UA"/>
              </w:rPr>
            </w:pPr>
          </w:p>
        </w:tc>
        <w:tc>
          <w:tcPr>
            <w:tcW w:w="1167" w:type="dxa"/>
            <w:tcBorders>
              <w:top w:val="nil"/>
              <w:left w:val="nil"/>
              <w:bottom w:val="single" w:sz="4" w:space="0" w:color="auto"/>
              <w:right w:val="nil"/>
            </w:tcBorders>
            <w:shd w:val="clear" w:color="000000" w:fill="FFFFFF"/>
            <w:hideMark/>
          </w:tcPr>
          <w:p w:rsidR="003E4DA1" w:rsidRPr="00C43F49" w:rsidRDefault="003E4DA1" w:rsidP="008645ED">
            <w:pPr>
              <w:keepNext/>
              <w:spacing w:after="0" w:line="240" w:lineRule="auto"/>
              <w:jc w:val="center"/>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w:t>
            </w:r>
          </w:p>
        </w:tc>
        <w:tc>
          <w:tcPr>
            <w:tcW w:w="1701" w:type="dxa"/>
            <w:tcBorders>
              <w:top w:val="nil"/>
              <w:left w:val="nil"/>
              <w:bottom w:val="single" w:sz="4" w:space="0" w:color="auto"/>
              <w:right w:val="nil"/>
            </w:tcBorders>
            <w:shd w:val="clear" w:color="000000" w:fill="FFFFFF"/>
            <w:hideMark/>
          </w:tcPr>
          <w:p w:rsidR="003E4DA1" w:rsidRPr="00C43F49" w:rsidRDefault="003E4DA1" w:rsidP="008645ED">
            <w:pPr>
              <w:keepNext/>
              <w:spacing w:after="0" w:line="240" w:lineRule="auto"/>
              <w:ind w:firstLineChars="200" w:firstLine="320"/>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w:t>
            </w:r>
          </w:p>
        </w:tc>
        <w:tc>
          <w:tcPr>
            <w:tcW w:w="1243" w:type="dxa"/>
            <w:tcBorders>
              <w:top w:val="nil"/>
              <w:left w:val="nil"/>
              <w:bottom w:val="single" w:sz="4" w:space="0" w:color="auto"/>
              <w:right w:val="nil"/>
            </w:tcBorders>
            <w:shd w:val="clear" w:color="000000" w:fill="FFFFFF"/>
            <w:hideMark/>
          </w:tcPr>
          <w:p w:rsidR="003E4DA1" w:rsidRPr="00C43F49" w:rsidRDefault="003E4DA1" w:rsidP="008645ED">
            <w:pPr>
              <w:keepNext/>
              <w:spacing w:after="0" w:line="240" w:lineRule="auto"/>
              <w:jc w:val="center"/>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w:t>
            </w:r>
          </w:p>
        </w:tc>
        <w:tc>
          <w:tcPr>
            <w:tcW w:w="1276" w:type="dxa"/>
            <w:tcBorders>
              <w:top w:val="nil"/>
              <w:left w:val="nil"/>
              <w:bottom w:val="single" w:sz="4" w:space="0" w:color="auto"/>
              <w:right w:val="nil"/>
            </w:tcBorders>
            <w:shd w:val="clear" w:color="000000" w:fill="FFFFFF"/>
            <w:hideMark/>
          </w:tcPr>
          <w:p w:rsidR="003E4DA1" w:rsidRPr="00C43F49" w:rsidRDefault="003E4DA1" w:rsidP="008645ED">
            <w:pPr>
              <w:keepNext/>
              <w:spacing w:after="0" w:line="240" w:lineRule="auto"/>
              <w:jc w:val="center"/>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w:t>
            </w:r>
          </w:p>
        </w:tc>
        <w:tc>
          <w:tcPr>
            <w:tcW w:w="2835" w:type="dxa"/>
            <w:tcBorders>
              <w:top w:val="nil"/>
              <w:left w:val="nil"/>
              <w:bottom w:val="single" w:sz="4" w:space="0" w:color="auto"/>
              <w:right w:val="nil"/>
            </w:tcBorders>
            <w:shd w:val="clear" w:color="000000" w:fill="FFFFFF"/>
            <w:noWrap/>
            <w:vAlign w:val="bottom"/>
            <w:hideMark/>
          </w:tcPr>
          <w:p w:rsidR="003E4DA1" w:rsidRPr="00C43F49" w:rsidRDefault="003E4DA1" w:rsidP="008645ED">
            <w:pPr>
              <w:keepNext/>
              <w:spacing w:after="0" w:line="240" w:lineRule="auto"/>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w:t>
            </w:r>
          </w:p>
        </w:tc>
      </w:tr>
      <w:tr w:rsidR="00C43F49" w:rsidRPr="00C43F49" w:rsidTr="00662E1B">
        <w:trPr>
          <w:trHeight w:val="772"/>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 xml:space="preserve">Предмет закупівлі </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Код КЕКВ  (для бюджетних коштів)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Очікувана вартість предмета закупівлі</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Процедура закупівлі</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Орієнтовний початок проведення процедури закупівлі</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Примітки</w:t>
            </w:r>
          </w:p>
        </w:tc>
      </w:tr>
      <w:tr w:rsidR="00C43F49" w:rsidRPr="00C43F49" w:rsidTr="00662E1B">
        <w:trPr>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1</w:t>
            </w:r>
          </w:p>
        </w:tc>
        <w:tc>
          <w:tcPr>
            <w:tcW w:w="1167" w:type="dxa"/>
            <w:tcBorders>
              <w:top w:val="single" w:sz="4" w:space="0" w:color="auto"/>
              <w:left w:val="nil"/>
              <w:bottom w:val="single" w:sz="4" w:space="0" w:color="auto"/>
              <w:right w:val="single" w:sz="4" w:space="0" w:color="auto"/>
            </w:tcBorders>
            <w:shd w:val="clear" w:color="000000" w:fill="FFFFFF"/>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2</w:t>
            </w:r>
          </w:p>
        </w:tc>
        <w:tc>
          <w:tcPr>
            <w:tcW w:w="1701" w:type="dxa"/>
            <w:tcBorders>
              <w:top w:val="single" w:sz="4" w:space="0" w:color="auto"/>
              <w:left w:val="nil"/>
              <w:bottom w:val="single" w:sz="4" w:space="0" w:color="auto"/>
              <w:right w:val="single" w:sz="4" w:space="0" w:color="auto"/>
            </w:tcBorders>
            <w:shd w:val="clear" w:color="000000" w:fill="FFFFFF"/>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3</w:t>
            </w:r>
          </w:p>
        </w:tc>
        <w:tc>
          <w:tcPr>
            <w:tcW w:w="1243" w:type="dxa"/>
            <w:tcBorders>
              <w:top w:val="single" w:sz="4" w:space="0" w:color="auto"/>
              <w:left w:val="nil"/>
              <w:bottom w:val="single" w:sz="4" w:space="0" w:color="auto"/>
              <w:right w:val="single" w:sz="4" w:space="0" w:color="auto"/>
            </w:tcBorders>
            <w:shd w:val="clear" w:color="000000" w:fill="FFFFFF"/>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4</w:t>
            </w:r>
          </w:p>
        </w:tc>
        <w:tc>
          <w:tcPr>
            <w:tcW w:w="1276" w:type="dxa"/>
            <w:tcBorders>
              <w:top w:val="single" w:sz="4" w:space="0" w:color="auto"/>
              <w:left w:val="nil"/>
              <w:bottom w:val="single" w:sz="4" w:space="0" w:color="auto"/>
              <w:right w:val="single" w:sz="4" w:space="0" w:color="auto"/>
            </w:tcBorders>
            <w:shd w:val="clear" w:color="000000" w:fill="FFFFFF"/>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5</w:t>
            </w:r>
          </w:p>
        </w:tc>
        <w:tc>
          <w:tcPr>
            <w:tcW w:w="2835" w:type="dxa"/>
            <w:tcBorders>
              <w:top w:val="single" w:sz="4" w:space="0" w:color="auto"/>
              <w:left w:val="nil"/>
              <w:bottom w:val="single" w:sz="4" w:space="0" w:color="auto"/>
              <w:right w:val="single" w:sz="4" w:space="0" w:color="auto"/>
            </w:tcBorders>
            <w:shd w:val="clear" w:color="000000" w:fill="FFFFFF"/>
            <w:hideMark/>
          </w:tcPr>
          <w:p w:rsidR="003E4DA1" w:rsidRPr="00C43F49" w:rsidRDefault="003E4DA1"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6</w:t>
            </w:r>
          </w:p>
        </w:tc>
      </w:tr>
      <w:tr w:rsidR="00662E1B" w:rsidRPr="00662E1B" w:rsidTr="00662E1B">
        <w:trPr>
          <w:trHeight w:val="675"/>
        </w:trPr>
        <w:tc>
          <w:tcPr>
            <w:tcW w:w="7371" w:type="dxa"/>
            <w:tcBorders>
              <w:top w:val="single" w:sz="4" w:space="0" w:color="auto"/>
              <w:left w:val="single" w:sz="4" w:space="0" w:color="auto"/>
              <w:bottom w:val="single" w:sz="4" w:space="0" w:color="auto"/>
              <w:right w:val="single" w:sz="4" w:space="0" w:color="auto"/>
            </w:tcBorders>
            <w:shd w:val="clear" w:color="000000" w:fill="FFFFFF"/>
          </w:tcPr>
          <w:p w:rsidR="00662E1B" w:rsidRPr="00662E1B" w:rsidRDefault="00662E1B" w:rsidP="00662E1B">
            <w:pPr>
              <w:keepNext/>
              <w:spacing w:after="0" w:line="240" w:lineRule="auto"/>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Послуги з обслуговування рахунку у цінних паперах (ДК 016:2010, код 64.11.1 «Послуги центрального банку» (ДК 021:2015, код 66111000-1 «Послуги центральних банків»))</w:t>
            </w:r>
          </w:p>
        </w:tc>
        <w:tc>
          <w:tcPr>
            <w:tcW w:w="1167"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2240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 xml:space="preserve">1 800,00 грн. </w:t>
            </w:r>
            <w:r w:rsidRPr="00662E1B">
              <w:rPr>
                <w:rFonts w:ascii="Times New Roman" w:eastAsia="Times New Roman" w:hAnsi="Times New Roman" w:cs="Times New Roman"/>
                <w:sz w:val="16"/>
                <w:szCs w:val="16"/>
                <w:lang w:eastAsia="uk-UA"/>
              </w:rPr>
              <w:br/>
              <w:t>(одна тисяча вісімсот гривень 00 коп.)</w:t>
            </w:r>
          </w:p>
        </w:tc>
        <w:tc>
          <w:tcPr>
            <w:tcW w:w="1243"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процедура не застосовується</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без процедури</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Вибір процедури – частина перша статті 2 Закону України «Про публічні закупівлі»</w:t>
            </w:r>
          </w:p>
        </w:tc>
      </w:tr>
      <w:tr w:rsidR="00662E1B" w:rsidRPr="00662E1B" w:rsidTr="00662E1B">
        <w:trPr>
          <w:trHeight w:val="727"/>
        </w:trPr>
        <w:tc>
          <w:tcPr>
            <w:tcW w:w="7371" w:type="dxa"/>
            <w:tcBorders>
              <w:top w:val="single" w:sz="4" w:space="0" w:color="auto"/>
              <w:left w:val="single" w:sz="4" w:space="0" w:color="auto"/>
              <w:bottom w:val="single" w:sz="4" w:space="0" w:color="auto"/>
              <w:right w:val="single" w:sz="4" w:space="0" w:color="auto"/>
            </w:tcBorders>
            <w:shd w:val="clear" w:color="000000" w:fill="FFFFFF"/>
          </w:tcPr>
          <w:p w:rsidR="00662E1B" w:rsidRPr="00662E1B" w:rsidRDefault="00662E1B" w:rsidP="00662E1B">
            <w:pPr>
              <w:keepNext/>
              <w:spacing w:after="0" w:line="240" w:lineRule="auto"/>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Послуги консультаційні з доопрацювання проекту Інструкції зі складання проектів та кошторисів на проведення геологорозвідувальних робіт (далі – проект Інструкції) з урахуванням зауважень і пропозицій Мінприроди України та змін законодавчих актів та нормативно-правових документів України, які відбулися після розробки і розгляду останньої редакції проекту Інструкції (ДК 016-2010, код 70.22.30 «Послуги консультаційні щодо господарської діяльності, інші» (ДК 021:2015, код 79415000-6 «Консультаційні послуги з питань управління виробничим процесом»))</w:t>
            </w:r>
          </w:p>
        </w:tc>
        <w:tc>
          <w:tcPr>
            <w:tcW w:w="1167"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2240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 xml:space="preserve">198 420,00 грн. </w:t>
            </w:r>
            <w:r w:rsidRPr="00662E1B">
              <w:rPr>
                <w:rFonts w:ascii="Times New Roman" w:eastAsia="Times New Roman" w:hAnsi="Times New Roman" w:cs="Times New Roman"/>
                <w:sz w:val="16"/>
                <w:szCs w:val="16"/>
                <w:lang w:eastAsia="uk-UA"/>
              </w:rPr>
              <w:br/>
              <w:t>(сто дев’яносто вісім тисяч чотириста двадцять гривень 00 коп.)</w:t>
            </w:r>
          </w:p>
        </w:tc>
        <w:tc>
          <w:tcPr>
            <w:tcW w:w="1243"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процедура не застосовується</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без процедури</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Вибір процедури – частина перша статті 2 Закону України «Про публічні закупівлі»</w:t>
            </w:r>
          </w:p>
        </w:tc>
      </w:tr>
      <w:tr w:rsidR="00662E1B" w:rsidRPr="00662E1B" w:rsidTr="00662E1B">
        <w:trPr>
          <w:trHeight w:val="735"/>
        </w:trPr>
        <w:tc>
          <w:tcPr>
            <w:tcW w:w="7371" w:type="dxa"/>
            <w:tcBorders>
              <w:top w:val="single" w:sz="4" w:space="0" w:color="auto"/>
              <w:left w:val="single" w:sz="4" w:space="0" w:color="auto"/>
              <w:bottom w:val="single" w:sz="4" w:space="0" w:color="auto"/>
              <w:right w:val="single" w:sz="4" w:space="0" w:color="auto"/>
            </w:tcBorders>
            <w:shd w:val="clear" w:color="000000" w:fill="FFFFFF"/>
          </w:tcPr>
          <w:p w:rsidR="00662E1B" w:rsidRPr="00662E1B" w:rsidRDefault="00662E1B" w:rsidP="00662E1B">
            <w:pPr>
              <w:keepNext/>
              <w:spacing w:after="0" w:line="240" w:lineRule="auto"/>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Послуги консультаційні із здійснення аналізу даних пооб’єктних планів, у тому числі, в частині відповідності об’єктів геологорозвідувальних робіт та наповненню цими даними автоматизованої системи планування, виконання та звітування про виконання геологорозвідувальних робіт (ДК 016:2010, код 63.99.20-00.00 «Добирання фактів або інформації, оригінальне» (ДК 021:2015, код 72321000-1 «Додаткові послуги, пов’язані з базами даних»))</w:t>
            </w:r>
          </w:p>
        </w:tc>
        <w:tc>
          <w:tcPr>
            <w:tcW w:w="1167"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2240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 xml:space="preserve">199 620,00 грн. </w:t>
            </w:r>
            <w:r w:rsidRPr="00662E1B">
              <w:rPr>
                <w:rFonts w:ascii="Times New Roman" w:eastAsia="Times New Roman" w:hAnsi="Times New Roman" w:cs="Times New Roman"/>
                <w:sz w:val="16"/>
                <w:szCs w:val="16"/>
                <w:lang w:eastAsia="uk-UA"/>
              </w:rPr>
              <w:br/>
              <w:t>(сто дев’яносто дев’ять тисяч шістсот двадцять гривень 00 копійок)</w:t>
            </w:r>
          </w:p>
        </w:tc>
        <w:tc>
          <w:tcPr>
            <w:tcW w:w="1243"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процедура не застосовується</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без процедури</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Вибір процедури – частина перша статті 2 Закону України «Про публічні закупівлі»</w:t>
            </w:r>
          </w:p>
        </w:tc>
      </w:tr>
      <w:tr w:rsidR="00662E1B" w:rsidRPr="00662E1B" w:rsidTr="00662E1B">
        <w:trPr>
          <w:trHeight w:val="763"/>
        </w:trPr>
        <w:tc>
          <w:tcPr>
            <w:tcW w:w="7371" w:type="dxa"/>
            <w:tcBorders>
              <w:top w:val="single" w:sz="4" w:space="0" w:color="auto"/>
              <w:left w:val="single" w:sz="4" w:space="0" w:color="auto"/>
              <w:bottom w:val="single" w:sz="4" w:space="0" w:color="auto"/>
              <w:right w:val="single" w:sz="4" w:space="0" w:color="auto"/>
            </w:tcBorders>
            <w:shd w:val="clear" w:color="auto" w:fill="auto"/>
          </w:tcPr>
          <w:p w:rsidR="00662E1B" w:rsidRPr="00662E1B" w:rsidRDefault="00662E1B" w:rsidP="00662E1B">
            <w:pPr>
              <w:keepNext/>
              <w:spacing w:after="0" w:line="240" w:lineRule="auto"/>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Послуги з дослідження стану забезпеченості ресурсами питних та технічних підземних вод за 2015 рік в межах адміністративних районів з підготовкою інформаційно-довідкових матеріалів щодо ресурсів, запасів та використання підземних вод по адміністративних областях України за 2015 рік (аналіз та узагальнення даних, отриманих з регіональних підприємств Держгеонадр України відповідно до діючих нормативно-правових актів, складання спеціалізованих аналітичних звітів, що містять графічну та схематично - оглядову картографічну інформацію (ДК 016-2010, код 72.19.5 «Результати наукового досліджування та експериментального розробляння у сфері природничих наук та інженерії, крім біотехнологій» (ДК 021:2015, код 72314000-9 «Послуги зі збирання та зіставлення даних»))</w:t>
            </w:r>
          </w:p>
        </w:tc>
        <w:tc>
          <w:tcPr>
            <w:tcW w:w="1167"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2240</w:t>
            </w:r>
          </w:p>
        </w:tc>
        <w:tc>
          <w:tcPr>
            <w:tcW w:w="1701" w:type="dxa"/>
            <w:tcBorders>
              <w:top w:val="single" w:sz="4" w:space="0" w:color="auto"/>
              <w:left w:val="nil"/>
              <w:bottom w:val="single" w:sz="4" w:space="0" w:color="auto"/>
              <w:right w:val="single" w:sz="4" w:space="0" w:color="auto"/>
            </w:tcBorders>
            <w:shd w:val="clear" w:color="auto" w:fill="auto"/>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198 343,20 грн.</w:t>
            </w:r>
            <w:r w:rsidRPr="00662E1B">
              <w:rPr>
                <w:rFonts w:ascii="Times New Roman" w:eastAsia="Times New Roman" w:hAnsi="Times New Roman" w:cs="Times New Roman"/>
                <w:sz w:val="16"/>
                <w:szCs w:val="16"/>
                <w:lang w:eastAsia="uk-UA"/>
              </w:rPr>
              <w:br/>
              <w:t>(сто дев’яносто вісім тисяч триста сорок три гривні 20 коп.)</w:t>
            </w:r>
          </w:p>
        </w:tc>
        <w:tc>
          <w:tcPr>
            <w:tcW w:w="1243" w:type="dxa"/>
            <w:tcBorders>
              <w:top w:val="single" w:sz="4" w:space="0" w:color="auto"/>
              <w:left w:val="nil"/>
              <w:bottom w:val="single" w:sz="4" w:space="0" w:color="auto"/>
              <w:right w:val="single" w:sz="4" w:space="0" w:color="auto"/>
            </w:tcBorders>
            <w:shd w:val="clear" w:color="auto" w:fill="auto"/>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процедура не застосовується</w:t>
            </w:r>
          </w:p>
        </w:tc>
        <w:tc>
          <w:tcPr>
            <w:tcW w:w="1276" w:type="dxa"/>
            <w:tcBorders>
              <w:top w:val="single" w:sz="4" w:space="0" w:color="auto"/>
              <w:left w:val="nil"/>
              <w:bottom w:val="single" w:sz="4" w:space="0" w:color="auto"/>
              <w:right w:val="single" w:sz="4" w:space="0" w:color="auto"/>
            </w:tcBorders>
            <w:shd w:val="clear" w:color="auto" w:fill="auto"/>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без процедури</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Вибір процедури – частина перша статті 2 Закону України «Про публічні закупівлі»</w:t>
            </w:r>
          </w:p>
        </w:tc>
      </w:tr>
      <w:tr w:rsidR="00662E1B" w:rsidRPr="00662E1B" w:rsidTr="00662E1B">
        <w:trPr>
          <w:trHeight w:val="811"/>
        </w:trPr>
        <w:tc>
          <w:tcPr>
            <w:tcW w:w="7371" w:type="dxa"/>
            <w:tcBorders>
              <w:top w:val="single" w:sz="4" w:space="0" w:color="auto"/>
              <w:left w:val="single" w:sz="4" w:space="0" w:color="auto"/>
              <w:bottom w:val="single" w:sz="4" w:space="0" w:color="auto"/>
              <w:right w:val="single" w:sz="4" w:space="0" w:color="auto"/>
            </w:tcBorders>
            <w:shd w:val="clear" w:color="000000" w:fill="FFFFFF"/>
          </w:tcPr>
          <w:p w:rsidR="00662E1B" w:rsidRPr="00662E1B" w:rsidRDefault="00662E1B" w:rsidP="00662E1B">
            <w:pPr>
              <w:keepNext/>
              <w:spacing w:after="0" w:line="240" w:lineRule="auto"/>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Послуги з дослідження стану режиму підземних вод з обробкою та підготовкою інформаційно-довідкових матеріалів державного моніторингу за підземними водами (стан державного моніторингу, рівневий та якісний режим підземних вод у природних, порушених умовах та на опорних полігонах з вивчення умов формування експлуатаційних запасів підземних вод, аналіз стану водозаборів для централізованого водопостачання тощо). Аналіз та узагальнення даних, отриманих з регіональних підприємств Держгеонадр України, складання та видання «Щорічника про стан підземних вод України за 2015 рік» який надсилається (за реєстром, затвердженим Державною геологічною службою 27.02.2009 р.) до центральних органів влади та організацій, які займаються охороною навколишнього природного середовища (ДК 016:2010, код 72.19.19-00.00 «Послуги щодо наукового дослідження та експериментального розроблення у сфері інших природних наук» (ДК 021:2015, код 90733700-1 «Послуги з моніторингу чи контролю рівня забруднення підземних вод»))</w:t>
            </w:r>
          </w:p>
        </w:tc>
        <w:tc>
          <w:tcPr>
            <w:tcW w:w="1167"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2240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199 447,40 грн.</w:t>
            </w:r>
            <w:r w:rsidRPr="00662E1B">
              <w:rPr>
                <w:rFonts w:ascii="Times New Roman" w:eastAsia="Times New Roman" w:hAnsi="Times New Roman" w:cs="Times New Roman"/>
                <w:sz w:val="16"/>
                <w:szCs w:val="16"/>
                <w:lang w:eastAsia="uk-UA"/>
              </w:rPr>
              <w:br/>
              <w:t>(сто дев’яносто дев’ять тисяч чотириста сорок сім гривень 40 коп.)</w:t>
            </w:r>
          </w:p>
        </w:tc>
        <w:tc>
          <w:tcPr>
            <w:tcW w:w="1243"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процедура не застосовується</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без процедури</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Вибір процедури – частина перша статті 2 Закону України «Про публічні закупівлі»</w:t>
            </w:r>
          </w:p>
        </w:tc>
      </w:tr>
      <w:tr w:rsidR="00662E1B" w:rsidRPr="00662E1B" w:rsidTr="00662E1B">
        <w:trPr>
          <w:trHeight w:val="708"/>
        </w:trPr>
        <w:tc>
          <w:tcPr>
            <w:tcW w:w="7371" w:type="dxa"/>
            <w:tcBorders>
              <w:top w:val="single" w:sz="4" w:space="0" w:color="auto"/>
              <w:left w:val="single" w:sz="4" w:space="0" w:color="auto"/>
              <w:bottom w:val="single" w:sz="4" w:space="0" w:color="auto"/>
              <w:right w:val="nil"/>
            </w:tcBorders>
            <w:shd w:val="clear" w:color="auto" w:fill="auto"/>
          </w:tcPr>
          <w:p w:rsidR="00662E1B" w:rsidRPr="00662E1B" w:rsidRDefault="00662E1B" w:rsidP="00662E1B">
            <w:pPr>
              <w:keepNext/>
              <w:spacing w:after="0" w:line="240" w:lineRule="auto"/>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Флеш-пам’яті Kingston DataTraveler SE9 8GB (9 шт.) (ДК 016:2010, код 26.11.30-65.00 «Схеми інтегровані електронні (крім схем багатокристальних): постійні запам'ятовувальні перепрограмовувані пристрої, з електричним стиранням інформації, зокрема флеш-пам'ять» (ДК 021:2015, код 30233180-6 «Флеш-накопичувачі»))</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2210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1 080,00 грн.</w:t>
            </w:r>
            <w:r w:rsidRPr="00662E1B">
              <w:rPr>
                <w:rFonts w:ascii="Times New Roman" w:eastAsia="Times New Roman" w:hAnsi="Times New Roman" w:cs="Times New Roman"/>
                <w:sz w:val="16"/>
                <w:szCs w:val="16"/>
                <w:lang w:eastAsia="uk-UA"/>
              </w:rPr>
              <w:br/>
              <w:t>(одна тисяча вісімдесят гривень 00 коп.)</w:t>
            </w:r>
          </w:p>
        </w:tc>
        <w:tc>
          <w:tcPr>
            <w:tcW w:w="1243"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процедура не застосовується</w:t>
            </w:r>
          </w:p>
        </w:tc>
        <w:tc>
          <w:tcPr>
            <w:tcW w:w="1276" w:type="dxa"/>
            <w:tcBorders>
              <w:top w:val="single" w:sz="4" w:space="0" w:color="auto"/>
              <w:left w:val="nil"/>
              <w:bottom w:val="single" w:sz="4" w:space="0" w:color="auto"/>
              <w:right w:val="single" w:sz="4" w:space="0" w:color="auto"/>
            </w:tcBorders>
            <w:shd w:val="clear" w:color="auto" w:fill="auto"/>
            <w:vAlign w:val="center"/>
          </w:tcPr>
          <w:p w:rsidR="00662E1B" w:rsidRPr="00662E1B" w:rsidRDefault="00662E1B" w:rsidP="00662E1B">
            <w:pPr>
              <w:keepNext/>
              <w:spacing w:after="0" w:line="240" w:lineRule="auto"/>
              <w:jc w:val="center"/>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без процедури</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662E1B" w:rsidRPr="00662E1B" w:rsidRDefault="00662E1B" w:rsidP="00662E1B">
            <w:pPr>
              <w:keepNext/>
              <w:spacing w:after="0" w:line="240" w:lineRule="auto"/>
              <w:rPr>
                <w:rFonts w:ascii="Times New Roman" w:eastAsia="Times New Roman" w:hAnsi="Times New Roman" w:cs="Times New Roman"/>
                <w:sz w:val="16"/>
                <w:szCs w:val="16"/>
                <w:lang w:eastAsia="uk-UA"/>
              </w:rPr>
            </w:pPr>
            <w:r w:rsidRPr="00662E1B">
              <w:rPr>
                <w:rFonts w:ascii="Times New Roman" w:eastAsia="Times New Roman" w:hAnsi="Times New Roman" w:cs="Times New Roman"/>
                <w:sz w:val="16"/>
                <w:szCs w:val="16"/>
                <w:lang w:eastAsia="uk-UA"/>
              </w:rPr>
              <w:t>Вибір процедури – частина перша статті 2 Закону України «Про публічні закупівлі»</w:t>
            </w:r>
          </w:p>
        </w:tc>
      </w:tr>
      <w:tr w:rsidR="00C43F49" w:rsidRPr="00C43F49" w:rsidTr="00662E1B">
        <w:trPr>
          <w:trHeight w:val="217"/>
        </w:trPr>
        <w:tc>
          <w:tcPr>
            <w:tcW w:w="10239" w:type="dxa"/>
            <w:gridSpan w:val="3"/>
            <w:tcBorders>
              <w:top w:val="nil"/>
              <w:left w:val="nil"/>
              <w:bottom w:val="nil"/>
              <w:right w:val="nil"/>
            </w:tcBorders>
            <w:shd w:val="clear" w:color="000000" w:fill="FFFFFF"/>
            <w:hideMark/>
          </w:tcPr>
          <w:p w:rsidR="00AA7E50" w:rsidRPr="00C43F49" w:rsidRDefault="00AA7E50" w:rsidP="00662E1B">
            <w:pPr>
              <w:keepNext/>
              <w:spacing w:after="0" w:line="240" w:lineRule="auto"/>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xml:space="preserve">Затверджений рішенням </w:t>
            </w:r>
            <w:r w:rsidR="00662E1B">
              <w:rPr>
                <w:rFonts w:ascii="Times New Roman" w:eastAsia="Times New Roman" w:hAnsi="Times New Roman" w:cs="Times New Roman"/>
                <w:sz w:val="16"/>
                <w:szCs w:val="16"/>
                <w:lang w:eastAsia="uk-UA"/>
              </w:rPr>
              <w:t xml:space="preserve">тендерного комітету </w:t>
            </w:r>
            <w:r w:rsidRPr="00C43F49">
              <w:rPr>
                <w:rFonts w:ascii="Times New Roman" w:eastAsia="Times New Roman" w:hAnsi="Times New Roman" w:cs="Times New Roman"/>
                <w:sz w:val="16"/>
                <w:szCs w:val="16"/>
                <w:lang w:eastAsia="uk-UA"/>
              </w:rPr>
              <w:t>від 0</w:t>
            </w:r>
            <w:r w:rsidR="00662E1B">
              <w:rPr>
                <w:rFonts w:ascii="Times New Roman" w:eastAsia="Times New Roman" w:hAnsi="Times New Roman" w:cs="Times New Roman"/>
                <w:sz w:val="16"/>
                <w:szCs w:val="16"/>
                <w:lang w:eastAsia="uk-UA"/>
              </w:rPr>
              <w:t>7</w:t>
            </w:r>
            <w:r w:rsidRPr="00C43F49">
              <w:rPr>
                <w:rFonts w:ascii="Times New Roman" w:eastAsia="Times New Roman" w:hAnsi="Times New Roman" w:cs="Times New Roman"/>
                <w:sz w:val="16"/>
                <w:szCs w:val="16"/>
                <w:lang w:eastAsia="uk-UA"/>
              </w:rPr>
              <w:t>.0</w:t>
            </w:r>
            <w:r w:rsidR="00662E1B">
              <w:rPr>
                <w:rFonts w:ascii="Times New Roman" w:eastAsia="Times New Roman" w:hAnsi="Times New Roman" w:cs="Times New Roman"/>
                <w:sz w:val="16"/>
                <w:szCs w:val="16"/>
                <w:lang w:eastAsia="uk-UA"/>
              </w:rPr>
              <w:t>6</w:t>
            </w:r>
            <w:r w:rsidRPr="00C43F49">
              <w:rPr>
                <w:rFonts w:ascii="Times New Roman" w:eastAsia="Times New Roman" w:hAnsi="Times New Roman" w:cs="Times New Roman"/>
                <w:sz w:val="16"/>
                <w:szCs w:val="16"/>
                <w:lang w:eastAsia="uk-UA"/>
              </w:rPr>
              <w:t>.2016</w:t>
            </w:r>
          </w:p>
        </w:tc>
        <w:tc>
          <w:tcPr>
            <w:tcW w:w="1243" w:type="dxa"/>
            <w:tcBorders>
              <w:top w:val="nil"/>
              <w:left w:val="nil"/>
              <w:bottom w:val="nil"/>
              <w:right w:val="nil"/>
            </w:tcBorders>
            <w:shd w:val="clear" w:color="000000" w:fill="FFFFFF"/>
            <w:hideMark/>
          </w:tcPr>
          <w:p w:rsidR="00AA7E50" w:rsidRPr="00C43F49" w:rsidRDefault="00AA7E50" w:rsidP="008645ED">
            <w:pPr>
              <w:keepNext/>
              <w:spacing w:after="0" w:line="240" w:lineRule="auto"/>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w:t>
            </w:r>
          </w:p>
        </w:tc>
        <w:tc>
          <w:tcPr>
            <w:tcW w:w="1276" w:type="dxa"/>
            <w:tcBorders>
              <w:top w:val="nil"/>
              <w:left w:val="nil"/>
              <w:bottom w:val="nil"/>
              <w:right w:val="nil"/>
            </w:tcBorders>
            <w:shd w:val="clear" w:color="000000" w:fill="FFFFFF"/>
            <w:hideMark/>
          </w:tcPr>
          <w:p w:rsidR="00AA7E50" w:rsidRPr="00C43F49" w:rsidRDefault="00AA7E50" w:rsidP="008645ED">
            <w:pPr>
              <w:keepNext/>
              <w:spacing w:after="0" w:line="240" w:lineRule="auto"/>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w:t>
            </w:r>
          </w:p>
        </w:tc>
        <w:tc>
          <w:tcPr>
            <w:tcW w:w="2835" w:type="dxa"/>
            <w:tcBorders>
              <w:top w:val="nil"/>
              <w:left w:val="nil"/>
              <w:bottom w:val="nil"/>
              <w:right w:val="nil"/>
            </w:tcBorders>
            <w:shd w:val="clear" w:color="000000" w:fill="FFFFFF"/>
            <w:hideMark/>
          </w:tcPr>
          <w:p w:rsidR="00AA7E50" w:rsidRPr="00C43F49" w:rsidRDefault="00AA7E50" w:rsidP="008645ED">
            <w:pPr>
              <w:keepNext/>
              <w:spacing w:after="0" w:line="240" w:lineRule="auto"/>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w:t>
            </w:r>
          </w:p>
        </w:tc>
      </w:tr>
      <w:tr w:rsidR="00C43F49" w:rsidRPr="00C43F49" w:rsidTr="00662E1B">
        <w:trPr>
          <w:trHeight w:val="315"/>
        </w:trPr>
        <w:tc>
          <w:tcPr>
            <w:tcW w:w="8538" w:type="dxa"/>
            <w:gridSpan w:val="2"/>
            <w:tcBorders>
              <w:top w:val="nil"/>
              <w:left w:val="nil"/>
              <w:bottom w:val="nil"/>
              <w:right w:val="nil"/>
            </w:tcBorders>
            <w:shd w:val="clear" w:color="000000" w:fill="FFFFFF"/>
            <w:vAlign w:val="bottom"/>
            <w:hideMark/>
          </w:tcPr>
          <w:p w:rsidR="00AA7E50" w:rsidRPr="00C43F49" w:rsidRDefault="00AA7E50" w:rsidP="008645ED">
            <w:pPr>
              <w:keepNext/>
              <w:spacing w:after="0" w:line="240" w:lineRule="auto"/>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 xml:space="preserve">Голова комітету з конкурсних торгів </w:t>
            </w:r>
          </w:p>
        </w:tc>
        <w:tc>
          <w:tcPr>
            <w:tcW w:w="1701" w:type="dxa"/>
            <w:tcBorders>
              <w:top w:val="nil"/>
              <w:left w:val="nil"/>
              <w:bottom w:val="nil"/>
              <w:right w:val="nil"/>
            </w:tcBorders>
            <w:shd w:val="clear" w:color="000000" w:fill="FFFFFF"/>
            <w:noWrap/>
            <w:vAlign w:val="bottom"/>
            <w:hideMark/>
          </w:tcPr>
          <w:p w:rsidR="00AA7E50" w:rsidRPr="00C43F49" w:rsidRDefault="00AA7E50" w:rsidP="008645ED">
            <w:pPr>
              <w:keepNext/>
              <w:spacing w:after="0" w:line="240" w:lineRule="auto"/>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w:t>
            </w:r>
          </w:p>
        </w:tc>
        <w:tc>
          <w:tcPr>
            <w:tcW w:w="1243" w:type="dxa"/>
            <w:tcBorders>
              <w:top w:val="nil"/>
              <w:left w:val="nil"/>
              <w:bottom w:val="nil"/>
              <w:right w:val="nil"/>
            </w:tcBorders>
            <w:shd w:val="clear" w:color="000000" w:fill="FFFFFF"/>
            <w:noWrap/>
            <w:vAlign w:val="bottom"/>
            <w:hideMark/>
          </w:tcPr>
          <w:p w:rsidR="00AA7E50" w:rsidRPr="00C43F49" w:rsidRDefault="00AA7E50" w:rsidP="008645ED">
            <w:pPr>
              <w:keepNext/>
              <w:spacing w:after="0" w:line="240" w:lineRule="auto"/>
              <w:rPr>
                <w:rFonts w:ascii="Times New Roman" w:eastAsia="Times New Roman" w:hAnsi="Times New Roman" w:cs="Times New Roman"/>
                <w:sz w:val="16"/>
                <w:szCs w:val="16"/>
                <w:lang w:eastAsia="uk-UA"/>
              </w:rPr>
            </w:pPr>
            <w:r w:rsidRPr="00C43F49">
              <w:rPr>
                <w:rFonts w:ascii="Times New Roman" w:eastAsia="Times New Roman" w:hAnsi="Times New Roman" w:cs="Times New Roman"/>
                <w:sz w:val="16"/>
                <w:szCs w:val="16"/>
                <w:lang w:eastAsia="uk-UA"/>
              </w:rPr>
              <w:t> </w:t>
            </w:r>
          </w:p>
        </w:tc>
        <w:tc>
          <w:tcPr>
            <w:tcW w:w="1276" w:type="dxa"/>
            <w:tcBorders>
              <w:top w:val="nil"/>
              <w:left w:val="nil"/>
              <w:bottom w:val="nil"/>
              <w:right w:val="nil"/>
            </w:tcBorders>
            <w:shd w:val="clear" w:color="000000" w:fill="FFFFFF"/>
            <w:vAlign w:val="center"/>
            <w:hideMark/>
          </w:tcPr>
          <w:p w:rsidR="00AA7E50" w:rsidRPr="00C43F49" w:rsidRDefault="00AA7E50" w:rsidP="008645ED">
            <w:pPr>
              <w:keepNext/>
              <w:spacing w:after="0" w:line="240" w:lineRule="auto"/>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 </w:t>
            </w:r>
          </w:p>
        </w:tc>
        <w:tc>
          <w:tcPr>
            <w:tcW w:w="2835" w:type="dxa"/>
            <w:tcBorders>
              <w:top w:val="nil"/>
              <w:left w:val="nil"/>
              <w:bottom w:val="single" w:sz="4" w:space="0" w:color="auto"/>
              <w:right w:val="nil"/>
            </w:tcBorders>
            <w:shd w:val="clear" w:color="000000" w:fill="FFFFFF"/>
            <w:vAlign w:val="center"/>
            <w:hideMark/>
          </w:tcPr>
          <w:p w:rsidR="00AA7E50" w:rsidRPr="00C43F49" w:rsidRDefault="00AA7E50" w:rsidP="008645ED">
            <w:pPr>
              <w:keepNext/>
              <w:spacing w:after="0" w:line="240" w:lineRule="auto"/>
              <w:jc w:val="center"/>
              <w:rPr>
                <w:rFonts w:ascii="Times New Roman" w:eastAsia="Times New Roman" w:hAnsi="Times New Roman" w:cs="Times New Roman"/>
                <w:b/>
                <w:bCs/>
                <w:sz w:val="16"/>
                <w:szCs w:val="16"/>
                <w:lang w:eastAsia="uk-UA"/>
              </w:rPr>
            </w:pPr>
            <w:r w:rsidRPr="00C43F49">
              <w:rPr>
                <w:rFonts w:ascii="Times New Roman" w:eastAsia="Times New Roman" w:hAnsi="Times New Roman" w:cs="Times New Roman"/>
                <w:b/>
                <w:bCs/>
                <w:sz w:val="16"/>
                <w:szCs w:val="16"/>
                <w:lang w:eastAsia="uk-UA"/>
              </w:rPr>
              <w:t>Л.І. Коноваленко</w:t>
            </w:r>
          </w:p>
        </w:tc>
      </w:tr>
    </w:tbl>
    <w:p w:rsidR="00B02084" w:rsidRPr="00C43F49" w:rsidRDefault="00B02084" w:rsidP="000A2D12">
      <w:pPr>
        <w:keepNext/>
        <w:rPr>
          <w:rFonts w:ascii="Times New Roman" w:hAnsi="Times New Roman" w:cs="Times New Roman"/>
          <w:sz w:val="16"/>
          <w:szCs w:val="16"/>
        </w:rPr>
      </w:pPr>
      <w:bookmarkStart w:id="0" w:name="_GoBack"/>
      <w:bookmarkEnd w:id="0"/>
    </w:p>
    <w:sectPr w:rsidR="00B02084" w:rsidRPr="00C43F49" w:rsidSect="0079671D">
      <w:pgSz w:w="16838" w:h="11906" w:orient="landscape"/>
      <w:pgMar w:top="426" w:right="850" w:bottom="28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0C1" w:rsidRDefault="00E070C1" w:rsidP="005C2CFC">
      <w:pPr>
        <w:spacing w:after="0" w:line="240" w:lineRule="auto"/>
      </w:pPr>
      <w:r>
        <w:separator/>
      </w:r>
    </w:p>
  </w:endnote>
  <w:endnote w:type="continuationSeparator" w:id="0">
    <w:p w:rsidR="00E070C1" w:rsidRDefault="00E070C1" w:rsidP="005C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0C1" w:rsidRDefault="00E070C1" w:rsidP="005C2CFC">
      <w:pPr>
        <w:spacing w:after="0" w:line="240" w:lineRule="auto"/>
      </w:pPr>
      <w:r>
        <w:separator/>
      </w:r>
    </w:p>
  </w:footnote>
  <w:footnote w:type="continuationSeparator" w:id="0">
    <w:p w:rsidR="00E070C1" w:rsidRDefault="00E070C1" w:rsidP="005C2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767A8"/>
    <w:multiLevelType w:val="multilevel"/>
    <w:tmpl w:val="0422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A1"/>
    <w:rsid w:val="00025886"/>
    <w:rsid w:val="00031C03"/>
    <w:rsid w:val="0006727F"/>
    <w:rsid w:val="0008104C"/>
    <w:rsid w:val="000A2D12"/>
    <w:rsid w:val="000A641B"/>
    <w:rsid w:val="00105332"/>
    <w:rsid w:val="0015031D"/>
    <w:rsid w:val="00151112"/>
    <w:rsid w:val="001902A7"/>
    <w:rsid w:val="001D6135"/>
    <w:rsid w:val="00245514"/>
    <w:rsid w:val="00272C16"/>
    <w:rsid w:val="002A65D1"/>
    <w:rsid w:val="002C52F9"/>
    <w:rsid w:val="002C6BCE"/>
    <w:rsid w:val="00344D75"/>
    <w:rsid w:val="00353959"/>
    <w:rsid w:val="003669EF"/>
    <w:rsid w:val="00370C9E"/>
    <w:rsid w:val="00375E33"/>
    <w:rsid w:val="003A5065"/>
    <w:rsid w:val="003D6A94"/>
    <w:rsid w:val="003E4DA1"/>
    <w:rsid w:val="00415988"/>
    <w:rsid w:val="004304C4"/>
    <w:rsid w:val="00447880"/>
    <w:rsid w:val="004757A9"/>
    <w:rsid w:val="004B2F01"/>
    <w:rsid w:val="00507808"/>
    <w:rsid w:val="005A1257"/>
    <w:rsid w:val="005C2CFC"/>
    <w:rsid w:val="00636386"/>
    <w:rsid w:val="00645187"/>
    <w:rsid w:val="00662E1B"/>
    <w:rsid w:val="00663C98"/>
    <w:rsid w:val="00677963"/>
    <w:rsid w:val="006B4696"/>
    <w:rsid w:val="006D1E19"/>
    <w:rsid w:val="0079671D"/>
    <w:rsid w:val="007C126F"/>
    <w:rsid w:val="007C362A"/>
    <w:rsid w:val="007F1C90"/>
    <w:rsid w:val="00822FE1"/>
    <w:rsid w:val="0085539A"/>
    <w:rsid w:val="008645ED"/>
    <w:rsid w:val="008D06C4"/>
    <w:rsid w:val="008D42A4"/>
    <w:rsid w:val="0090300A"/>
    <w:rsid w:val="0090330C"/>
    <w:rsid w:val="00913DA3"/>
    <w:rsid w:val="009650AD"/>
    <w:rsid w:val="00972930"/>
    <w:rsid w:val="009858A2"/>
    <w:rsid w:val="009C07E6"/>
    <w:rsid w:val="009E0BBE"/>
    <w:rsid w:val="009E703D"/>
    <w:rsid w:val="00A2695F"/>
    <w:rsid w:val="00A65734"/>
    <w:rsid w:val="00A666C9"/>
    <w:rsid w:val="00AA7E50"/>
    <w:rsid w:val="00AC4EDA"/>
    <w:rsid w:val="00B02084"/>
    <w:rsid w:val="00B17B34"/>
    <w:rsid w:val="00B4385D"/>
    <w:rsid w:val="00B71602"/>
    <w:rsid w:val="00B71979"/>
    <w:rsid w:val="00B80F5A"/>
    <w:rsid w:val="00B919A5"/>
    <w:rsid w:val="00BB2A2C"/>
    <w:rsid w:val="00BD1FED"/>
    <w:rsid w:val="00BF300C"/>
    <w:rsid w:val="00C01856"/>
    <w:rsid w:val="00C02E23"/>
    <w:rsid w:val="00C141AA"/>
    <w:rsid w:val="00C358C9"/>
    <w:rsid w:val="00C43F49"/>
    <w:rsid w:val="00C54278"/>
    <w:rsid w:val="00C62EEA"/>
    <w:rsid w:val="00C82938"/>
    <w:rsid w:val="00C85340"/>
    <w:rsid w:val="00CD1C61"/>
    <w:rsid w:val="00CD4574"/>
    <w:rsid w:val="00CD51E0"/>
    <w:rsid w:val="00D15EA1"/>
    <w:rsid w:val="00D16976"/>
    <w:rsid w:val="00D73740"/>
    <w:rsid w:val="00D776F0"/>
    <w:rsid w:val="00DC5F79"/>
    <w:rsid w:val="00DF0114"/>
    <w:rsid w:val="00E070C1"/>
    <w:rsid w:val="00E17637"/>
    <w:rsid w:val="00E24EEA"/>
    <w:rsid w:val="00E73534"/>
    <w:rsid w:val="00EC683F"/>
    <w:rsid w:val="00EE0937"/>
    <w:rsid w:val="00F05F2D"/>
    <w:rsid w:val="00F152D0"/>
    <w:rsid w:val="00F37939"/>
    <w:rsid w:val="00F5284E"/>
    <w:rsid w:val="00F8343E"/>
    <w:rsid w:val="00FC47D8"/>
    <w:rsid w:val="00FE75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F70E5-801F-4A12-B0D0-33F1E07C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0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9"/>
    <w:qFormat/>
    <w:rsid w:val="006D1E1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9"/>
    <w:qFormat/>
    <w:rsid w:val="006D1E19"/>
    <w:pPr>
      <w:keepNext/>
      <w:spacing w:before="240" w:after="60" w:line="240" w:lineRule="auto"/>
      <w:ind w:left="720" w:hanging="432"/>
      <w:outlineLvl w:val="2"/>
    </w:pPr>
    <w:rPr>
      <w:rFonts w:ascii="Arial" w:eastAsia="Times New Roman" w:hAnsi="Arial" w:cs="Arial"/>
      <w:b/>
      <w:bCs/>
      <w:sz w:val="26"/>
      <w:szCs w:val="26"/>
      <w:lang w:eastAsia="uk-UA"/>
    </w:rPr>
  </w:style>
  <w:style w:type="paragraph" w:styleId="4">
    <w:name w:val="heading 4"/>
    <w:basedOn w:val="a"/>
    <w:next w:val="a"/>
    <w:link w:val="40"/>
    <w:uiPriority w:val="99"/>
    <w:unhideWhenUsed/>
    <w:qFormat/>
    <w:rsid w:val="000258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qFormat/>
    <w:rsid w:val="006D1E19"/>
    <w:pPr>
      <w:spacing w:before="240" w:after="60" w:line="240" w:lineRule="auto"/>
      <w:ind w:left="1008" w:hanging="432"/>
      <w:outlineLvl w:val="4"/>
    </w:pPr>
    <w:rPr>
      <w:rFonts w:ascii="Times New Roman" w:eastAsia="Times New Roman" w:hAnsi="Times New Roman" w:cs="Times New Roman"/>
      <w:b/>
      <w:bCs/>
      <w:i/>
      <w:iCs/>
      <w:sz w:val="26"/>
      <w:szCs w:val="26"/>
      <w:lang w:eastAsia="uk-UA"/>
    </w:rPr>
  </w:style>
  <w:style w:type="paragraph" w:styleId="6">
    <w:name w:val="heading 6"/>
    <w:basedOn w:val="a"/>
    <w:next w:val="a"/>
    <w:link w:val="60"/>
    <w:uiPriority w:val="99"/>
    <w:qFormat/>
    <w:rsid w:val="006D1E19"/>
    <w:pPr>
      <w:spacing w:before="240" w:after="60" w:line="240" w:lineRule="auto"/>
      <w:ind w:left="1152" w:hanging="432"/>
      <w:outlineLvl w:val="5"/>
    </w:pPr>
    <w:rPr>
      <w:rFonts w:ascii="Times New Roman" w:eastAsia="Times New Roman" w:hAnsi="Times New Roman" w:cs="Times New Roman"/>
      <w:b/>
      <w:bCs/>
      <w:lang w:eastAsia="uk-UA"/>
    </w:rPr>
  </w:style>
  <w:style w:type="paragraph" w:styleId="7">
    <w:name w:val="heading 7"/>
    <w:basedOn w:val="a"/>
    <w:next w:val="a"/>
    <w:link w:val="70"/>
    <w:uiPriority w:val="99"/>
    <w:qFormat/>
    <w:rsid w:val="006D1E19"/>
    <w:pPr>
      <w:spacing w:before="240" w:after="60" w:line="240" w:lineRule="auto"/>
      <w:ind w:left="1296" w:hanging="288"/>
      <w:outlineLvl w:val="6"/>
    </w:pPr>
    <w:rPr>
      <w:rFonts w:ascii="Times New Roman" w:eastAsia="Times New Roman" w:hAnsi="Times New Roman" w:cs="Times New Roman"/>
      <w:sz w:val="24"/>
      <w:szCs w:val="24"/>
      <w:lang w:eastAsia="uk-UA"/>
    </w:rPr>
  </w:style>
  <w:style w:type="paragraph" w:styleId="8">
    <w:name w:val="heading 8"/>
    <w:basedOn w:val="a"/>
    <w:next w:val="a"/>
    <w:link w:val="80"/>
    <w:uiPriority w:val="99"/>
    <w:qFormat/>
    <w:rsid w:val="006D1E19"/>
    <w:pPr>
      <w:spacing w:before="240" w:after="60" w:line="240" w:lineRule="auto"/>
      <w:ind w:left="1440" w:hanging="432"/>
      <w:outlineLvl w:val="7"/>
    </w:pPr>
    <w:rPr>
      <w:rFonts w:ascii="Times New Roman" w:eastAsia="Times New Roman" w:hAnsi="Times New Roman" w:cs="Times New Roman"/>
      <w:i/>
      <w:iCs/>
      <w:sz w:val="24"/>
      <w:szCs w:val="24"/>
      <w:lang w:eastAsia="uk-UA"/>
    </w:rPr>
  </w:style>
  <w:style w:type="paragraph" w:styleId="9">
    <w:name w:val="heading 9"/>
    <w:basedOn w:val="a"/>
    <w:next w:val="a"/>
    <w:link w:val="90"/>
    <w:uiPriority w:val="99"/>
    <w:qFormat/>
    <w:rsid w:val="006D1E19"/>
    <w:pPr>
      <w:spacing w:before="240" w:after="60" w:line="240" w:lineRule="auto"/>
      <w:ind w:left="1584" w:hanging="144"/>
      <w:outlineLvl w:val="8"/>
    </w:pPr>
    <w:rPr>
      <w:rFonts w:ascii="Arial" w:eastAsia="Times New Roman"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DA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4DA1"/>
    <w:rPr>
      <w:rFonts w:ascii="Segoe UI" w:hAnsi="Segoe UI" w:cs="Segoe UI"/>
      <w:sz w:val="18"/>
      <w:szCs w:val="18"/>
    </w:rPr>
  </w:style>
  <w:style w:type="character" w:styleId="a5">
    <w:name w:val="Hyperlink"/>
    <w:basedOn w:val="a0"/>
    <w:uiPriority w:val="99"/>
    <w:semiHidden/>
    <w:unhideWhenUsed/>
    <w:rsid w:val="00245514"/>
    <w:rPr>
      <w:color w:val="0000FF"/>
      <w:u w:val="single"/>
    </w:rPr>
  </w:style>
  <w:style w:type="character" w:customStyle="1" w:styleId="10">
    <w:name w:val="Заголовок 1 Знак"/>
    <w:basedOn w:val="a0"/>
    <w:link w:val="1"/>
    <w:uiPriority w:val="9"/>
    <w:rsid w:val="001902A7"/>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1902A7"/>
  </w:style>
  <w:style w:type="character" w:customStyle="1" w:styleId="40">
    <w:name w:val="Заголовок 4 Знак"/>
    <w:basedOn w:val="a0"/>
    <w:link w:val="4"/>
    <w:uiPriority w:val="9"/>
    <w:rsid w:val="00025886"/>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9"/>
    <w:rsid w:val="006D1E19"/>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9"/>
    <w:rsid w:val="006D1E19"/>
    <w:rPr>
      <w:rFonts w:ascii="Arial" w:eastAsia="Times New Roman" w:hAnsi="Arial" w:cs="Arial"/>
      <w:b/>
      <w:bCs/>
      <w:sz w:val="26"/>
      <w:szCs w:val="26"/>
      <w:lang w:eastAsia="uk-UA"/>
    </w:rPr>
  </w:style>
  <w:style w:type="character" w:customStyle="1" w:styleId="50">
    <w:name w:val="Заголовок 5 Знак"/>
    <w:basedOn w:val="a0"/>
    <w:link w:val="5"/>
    <w:uiPriority w:val="99"/>
    <w:rsid w:val="006D1E19"/>
    <w:rPr>
      <w:rFonts w:ascii="Times New Roman" w:eastAsia="Times New Roman" w:hAnsi="Times New Roman" w:cs="Times New Roman"/>
      <w:b/>
      <w:bCs/>
      <w:i/>
      <w:iCs/>
      <w:sz w:val="26"/>
      <w:szCs w:val="26"/>
      <w:lang w:eastAsia="uk-UA"/>
    </w:rPr>
  </w:style>
  <w:style w:type="character" w:customStyle="1" w:styleId="60">
    <w:name w:val="Заголовок 6 Знак"/>
    <w:basedOn w:val="a0"/>
    <w:link w:val="6"/>
    <w:uiPriority w:val="99"/>
    <w:rsid w:val="006D1E19"/>
    <w:rPr>
      <w:rFonts w:ascii="Times New Roman" w:eastAsia="Times New Roman" w:hAnsi="Times New Roman" w:cs="Times New Roman"/>
      <w:b/>
      <w:bCs/>
      <w:lang w:eastAsia="uk-UA"/>
    </w:rPr>
  </w:style>
  <w:style w:type="character" w:customStyle="1" w:styleId="70">
    <w:name w:val="Заголовок 7 Знак"/>
    <w:basedOn w:val="a0"/>
    <w:link w:val="7"/>
    <w:uiPriority w:val="99"/>
    <w:rsid w:val="006D1E19"/>
    <w:rPr>
      <w:rFonts w:ascii="Times New Roman" w:eastAsia="Times New Roman" w:hAnsi="Times New Roman" w:cs="Times New Roman"/>
      <w:sz w:val="24"/>
      <w:szCs w:val="24"/>
      <w:lang w:eastAsia="uk-UA"/>
    </w:rPr>
  </w:style>
  <w:style w:type="character" w:customStyle="1" w:styleId="80">
    <w:name w:val="Заголовок 8 Знак"/>
    <w:basedOn w:val="a0"/>
    <w:link w:val="8"/>
    <w:uiPriority w:val="99"/>
    <w:rsid w:val="006D1E19"/>
    <w:rPr>
      <w:rFonts w:ascii="Times New Roman" w:eastAsia="Times New Roman" w:hAnsi="Times New Roman" w:cs="Times New Roman"/>
      <w:i/>
      <w:iCs/>
      <w:sz w:val="24"/>
      <w:szCs w:val="24"/>
      <w:lang w:eastAsia="uk-UA"/>
    </w:rPr>
  </w:style>
  <w:style w:type="character" w:customStyle="1" w:styleId="90">
    <w:name w:val="Заголовок 9 Знак"/>
    <w:basedOn w:val="a0"/>
    <w:link w:val="9"/>
    <w:uiPriority w:val="99"/>
    <w:rsid w:val="006D1E19"/>
    <w:rPr>
      <w:rFonts w:ascii="Arial" w:eastAsia="Times New Roman" w:hAnsi="Arial" w:cs="Arial"/>
      <w:lang w:eastAsia="uk-UA"/>
    </w:rPr>
  </w:style>
  <w:style w:type="paragraph" w:customStyle="1" w:styleId="tbl-cod">
    <w:name w:val="tbl-cod"/>
    <w:basedOn w:val="a"/>
    <w:uiPriority w:val="99"/>
    <w:rsid w:val="006D1E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5C2CF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C2CFC"/>
  </w:style>
  <w:style w:type="paragraph" w:styleId="a8">
    <w:name w:val="footer"/>
    <w:basedOn w:val="a"/>
    <w:link w:val="a9"/>
    <w:uiPriority w:val="99"/>
    <w:unhideWhenUsed/>
    <w:rsid w:val="005C2CF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C2CFC"/>
  </w:style>
  <w:style w:type="paragraph" w:customStyle="1" w:styleId="tbl-txt">
    <w:name w:val="tbl-txt"/>
    <w:basedOn w:val="a"/>
    <w:uiPriority w:val="99"/>
    <w:rsid w:val="00BB2A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ighlighted">
    <w:name w:val="highlighted"/>
    <w:basedOn w:val="a0"/>
    <w:rsid w:val="0066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987">
      <w:bodyDiv w:val="1"/>
      <w:marLeft w:val="0"/>
      <w:marRight w:val="0"/>
      <w:marTop w:val="0"/>
      <w:marBottom w:val="0"/>
      <w:divBdr>
        <w:top w:val="none" w:sz="0" w:space="0" w:color="auto"/>
        <w:left w:val="none" w:sz="0" w:space="0" w:color="auto"/>
        <w:bottom w:val="none" w:sz="0" w:space="0" w:color="auto"/>
        <w:right w:val="none" w:sz="0" w:space="0" w:color="auto"/>
      </w:divBdr>
    </w:div>
    <w:div w:id="101846557">
      <w:bodyDiv w:val="1"/>
      <w:marLeft w:val="0"/>
      <w:marRight w:val="0"/>
      <w:marTop w:val="0"/>
      <w:marBottom w:val="0"/>
      <w:divBdr>
        <w:top w:val="none" w:sz="0" w:space="0" w:color="auto"/>
        <w:left w:val="none" w:sz="0" w:space="0" w:color="auto"/>
        <w:bottom w:val="none" w:sz="0" w:space="0" w:color="auto"/>
        <w:right w:val="none" w:sz="0" w:space="0" w:color="auto"/>
      </w:divBdr>
    </w:div>
    <w:div w:id="226117015">
      <w:bodyDiv w:val="1"/>
      <w:marLeft w:val="0"/>
      <w:marRight w:val="0"/>
      <w:marTop w:val="0"/>
      <w:marBottom w:val="0"/>
      <w:divBdr>
        <w:top w:val="none" w:sz="0" w:space="0" w:color="auto"/>
        <w:left w:val="none" w:sz="0" w:space="0" w:color="auto"/>
        <w:bottom w:val="none" w:sz="0" w:space="0" w:color="auto"/>
        <w:right w:val="none" w:sz="0" w:space="0" w:color="auto"/>
      </w:divBdr>
    </w:div>
    <w:div w:id="346756033">
      <w:bodyDiv w:val="1"/>
      <w:marLeft w:val="0"/>
      <w:marRight w:val="0"/>
      <w:marTop w:val="0"/>
      <w:marBottom w:val="0"/>
      <w:divBdr>
        <w:top w:val="none" w:sz="0" w:space="0" w:color="auto"/>
        <w:left w:val="none" w:sz="0" w:space="0" w:color="auto"/>
        <w:bottom w:val="none" w:sz="0" w:space="0" w:color="auto"/>
        <w:right w:val="none" w:sz="0" w:space="0" w:color="auto"/>
      </w:divBdr>
    </w:div>
    <w:div w:id="401100037">
      <w:bodyDiv w:val="1"/>
      <w:marLeft w:val="0"/>
      <w:marRight w:val="0"/>
      <w:marTop w:val="0"/>
      <w:marBottom w:val="0"/>
      <w:divBdr>
        <w:top w:val="none" w:sz="0" w:space="0" w:color="auto"/>
        <w:left w:val="none" w:sz="0" w:space="0" w:color="auto"/>
        <w:bottom w:val="none" w:sz="0" w:space="0" w:color="auto"/>
        <w:right w:val="none" w:sz="0" w:space="0" w:color="auto"/>
      </w:divBdr>
    </w:div>
    <w:div w:id="401754933">
      <w:bodyDiv w:val="1"/>
      <w:marLeft w:val="0"/>
      <w:marRight w:val="0"/>
      <w:marTop w:val="0"/>
      <w:marBottom w:val="0"/>
      <w:divBdr>
        <w:top w:val="none" w:sz="0" w:space="0" w:color="auto"/>
        <w:left w:val="none" w:sz="0" w:space="0" w:color="auto"/>
        <w:bottom w:val="none" w:sz="0" w:space="0" w:color="auto"/>
        <w:right w:val="none" w:sz="0" w:space="0" w:color="auto"/>
      </w:divBdr>
    </w:div>
    <w:div w:id="527452945">
      <w:bodyDiv w:val="1"/>
      <w:marLeft w:val="0"/>
      <w:marRight w:val="0"/>
      <w:marTop w:val="0"/>
      <w:marBottom w:val="0"/>
      <w:divBdr>
        <w:top w:val="none" w:sz="0" w:space="0" w:color="auto"/>
        <w:left w:val="none" w:sz="0" w:space="0" w:color="auto"/>
        <w:bottom w:val="none" w:sz="0" w:space="0" w:color="auto"/>
        <w:right w:val="none" w:sz="0" w:space="0" w:color="auto"/>
      </w:divBdr>
    </w:div>
    <w:div w:id="545065815">
      <w:bodyDiv w:val="1"/>
      <w:marLeft w:val="0"/>
      <w:marRight w:val="0"/>
      <w:marTop w:val="0"/>
      <w:marBottom w:val="0"/>
      <w:divBdr>
        <w:top w:val="none" w:sz="0" w:space="0" w:color="auto"/>
        <w:left w:val="none" w:sz="0" w:space="0" w:color="auto"/>
        <w:bottom w:val="none" w:sz="0" w:space="0" w:color="auto"/>
        <w:right w:val="none" w:sz="0" w:space="0" w:color="auto"/>
      </w:divBdr>
    </w:div>
    <w:div w:id="607083875">
      <w:bodyDiv w:val="1"/>
      <w:marLeft w:val="0"/>
      <w:marRight w:val="0"/>
      <w:marTop w:val="0"/>
      <w:marBottom w:val="0"/>
      <w:divBdr>
        <w:top w:val="none" w:sz="0" w:space="0" w:color="auto"/>
        <w:left w:val="none" w:sz="0" w:space="0" w:color="auto"/>
        <w:bottom w:val="none" w:sz="0" w:space="0" w:color="auto"/>
        <w:right w:val="none" w:sz="0" w:space="0" w:color="auto"/>
      </w:divBdr>
    </w:div>
    <w:div w:id="625816640">
      <w:bodyDiv w:val="1"/>
      <w:marLeft w:val="0"/>
      <w:marRight w:val="0"/>
      <w:marTop w:val="0"/>
      <w:marBottom w:val="0"/>
      <w:divBdr>
        <w:top w:val="none" w:sz="0" w:space="0" w:color="auto"/>
        <w:left w:val="none" w:sz="0" w:space="0" w:color="auto"/>
        <w:bottom w:val="none" w:sz="0" w:space="0" w:color="auto"/>
        <w:right w:val="none" w:sz="0" w:space="0" w:color="auto"/>
      </w:divBdr>
    </w:div>
    <w:div w:id="746389870">
      <w:bodyDiv w:val="1"/>
      <w:marLeft w:val="0"/>
      <w:marRight w:val="0"/>
      <w:marTop w:val="0"/>
      <w:marBottom w:val="0"/>
      <w:divBdr>
        <w:top w:val="none" w:sz="0" w:space="0" w:color="auto"/>
        <w:left w:val="none" w:sz="0" w:space="0" w:color="auto"/>
        <w:bottom w:val="none" w:sz="0" w:space="0" w:color="auto"/>
        <w:right w:val="none" w:sz="0" w:space="0" w:color="auto"/>
      </w:divBdr>
    </w:div>
    <w:div w:id="794637405">
      <w:bodyDiv w:val="1"/>
      <w:marLeft w:val="0"/>
      <w:marRight w:val="0"/>
      <w:marTop w:val="0"/>
      <w:marBottom w:val="0"/>
      <w:divBdr>
        <w:top w:val="none" w:sz="0" w:space="0" w:color="auto"/>
        <w:left w:val="none" w:sz="0" w:space="0" w:color="auto"/>
        <w:bottom w:val="none" w:sz="0" w:space="0" w:color="auto"/>
        <w:right w:val="none" w:sz="0" w:space="0" w:color="auto"/>
      </w:divBdr>
    </w:div>
    <w:div w:id="796797552">
      <w:bodyDiv w:val="1"/>
      <w:marLeft w:val="0"/>
      <w:marRight w:val="0"/>
      <w:marTop w:val="0"/>
      <w:marBottom w:val="0"/>
      <w:divBdr>
        <w:top w:val="none" w:sz="0" w:space="0" w:color="auto"/>
        <w:left w:val="none" w:sz="0" w:space="0" w:color="auto"/>
        <w:bottom w:val="none" w:sz="0" w:space="0" w:color="auto"/>
        <w:right w:val="none" w:sz="0" w:space="0" w:color="auto"/>
      </w:divBdr>
    </w:div>
    <w:div w:id="821001500">
      <w:bodyDiv w:val="1"/>
      <w:marLeft w:val="0"/>
      <w:marRight w:val="0"/>
      <w:marTop w:val="0"/>
      <w:marBottom w:val="0"/>
      <w:divBdr>
        <w:top w:val="none" w:sz="0" w:space="0" w:color="auto"/>
        <w:left w:val="none" w:sz="0" w:space="0" w:color="auto"/>
        <w:bottom w:val="none" w:sz="0" w:space="0" w:color="auto"/>
        <w:right w:val="none" w:sz="0" w:space="0" w:color="auto"/>
      </w:divBdr>
    </w:div>
    <w:div w:id="830020188">
      <w:bodyDiv w:val="1"/>
      <w:marLeft w:val="0"/>
      <w:marRight w:val="0"/>
      <w:marTop w:val="0"/>
      <w:marBottom w:val="0"/>
      <w:divBdr>
        <w:top w:val="none" w:sz="0" w:space="0" w:color="auto"/>
        <w:left w:val="none" w:sz="0" w:space="0" w:color="auto"/>
        <w:bottom w:val="none" w:sz="0" w:space="0" w:color="auto"/>
        <w:right w:val="none" w:sz="0" w:space="0" w:color="auto"/>
      </w:divBdr>
    </w:div>
    <w:div w:id="844587970">
      <w:bodyDiv w:val="1"/>
      <w:marLeft w:val="0"/>
      <w:marRight w:val="0"/>
      <w:marTop w:val="0"/>
      <w:marBottom w:val="0"/>
      <w:divBdr>
        <w:top w:val="none" w:sz="0" w:space="0" w:color="auto"/>
        <w:left w:val="none" w:sz="0" w:space="0" w:color="auto"/>
        <w:bottom w:val="none" w:sz="0" w:space="0" w:color="auto"/>
        <w:right w:val="none" w:sz="0" w:space="0" w:color="auto"/>
      </w:divBdr>
    </w:div>
    <w:div w:id="897399037">
      <w:bodyDiv w:val="1"/>
      <w:marLeft w:val="0"/>
      <w:marRight w:val="0"/>
      <w:marTop w:val="0"/>
      <w:marBottom w:val="0"/>
      <w:divBdr>
        <w:top w:val="none" w:sz="0" w:space="0" w:color="auto"/>
        <w:left w:val="none" w:sz="0" w:space="0" w:color="auto"/>
        <w:bottom w:val="none" w:sz="0" w:space="0" w:color="auto"/>
        <w:right w:val="none" w:sz="0" w:space="0" w:color="auto"/>
      </w:divBdr>
    </w:div>
    <w:div w:id="943079447">
      <w:bodyDiv w:val="1"/>
      <w:marLeft w:val="0"/>
      <w:marRight w:val="0"/>
      <w:marTop w:val="0"/>
      <w:marBottom w:val="0"/>
      <w:divBdr>
        <w:top w:val="none" w:sz="0" w:space="0" w:color="auto"/>
        <w:left w:val="none" w:sz="0" w:space="0" w:color="auto"/>
        <w:bottom w:val="none" w:sz="0" w:space="0" w:color="auto"/>
        <w:right w:val="none" w:sz="0" w:space="0" w:color="auto"/>
      </w:divBdr>
    </w:div>
    <w:div w:id="950823109">
      <w:bodyDiv w:val="1"/>
      <w:marLeft w:val="0"/>
      <w:marRight w:val="0"/>
      <w:marTop w:val="0"/>
      <w:marBottom w:val="0"/>
      <w:divBdr>
        <w:top w:val="none" w:sz="0" w:space="0" w:color="auto"/>
        <w:left w:val="none" w:sz="0" w:space="0" w:color="auto"/>
        <w:bottom w:val="none" w:sz="0" w:space="0" w:color="auto"/>
        <w:right w:val="none" w:sz="0" w:space="0" w:color="auto"/>
      </w:divBdr>
    </w:div>
    <w:div w:id="951859882">
      <w:bodyDiv w:val="1"/>
      <w:marLeft w:val="0"/>
      <w:marRight w:val="0"/>
      <w:marTop w:val="0"/>
      <w:marBottom w:val="0"/>
      <w:divBdr>
        <w:top w:val="none" w:sz="0" w:space="0" w:color="auto"/>
        <w:left w:val="none" w:sz="0" w:space="0" w:color="auto"/>
        <w:bottom w:val="none" w:sz="0" w:space="0" w:color="auto"/>
        <w:right w:val="none" w:sz="0" w:space="0" w:color="auto"/>
      </w:divBdr>
    </w:div>
    <w:div w:id="979114656">
      <w:bodyDiv w:val="1"/>
      <w:marLeft w:val="0"/>
      <w:marRight w:val="0"/>
      <w:marTop w:val="0"/>
      <w:marBottom w:val="0"/>
      <w:divBdr>
        <w:top w:val="none" w:sz="0" w:space="0" w:color="auto"/>
        <w:left w:val="none" w:sz="0" w:space="0" w:color="auto"/>
        <w:bottom w:val="none" w:sz="0" w:space="0" w:color="auto"/>
        <w:right w:val="none" w:sz="0" w:space="0" w:color="auto"/>
      </w:divBdr>
    </w:div>
    <w:div w:id="1093743869">
      <w:bodyDiv w:val="1"/>
      <w:marLeft w:val="0"/>
      <w:marRight w:val="0"/>
      <w:marTop w:val="0"/>
      <w:marBottom w:val="0"/>
      <w:divBdr>
        <w:top w:val="none" w:sz="0" w:space="0" w:color="auto"/>
        <w:left w:val="none" w:sz="0" w:space="0" w:color="auto"/>
        <w:bottom w:val="none" w:sz="0" w:space="0" w:color="auto"/>
        <w:right w:val="none" w:sz="0" w:space="0" w:color="auto"/>
      </w:divBdr>
    </w:div>
    <w:div w:id="1096294045">
      <w:bodyDiv w:val="1"/>
      <w:marLeft w:val="0"/>
      <w:marRight w:val="0"/>
      <w:marTop w:val="0"/>
      <w:marBottom w:val="0"/>
      <w:divBdr>
        <w:top w:val="none" w:sz="0" w:space="0" w:color="auto"/>
        <w:left w:val="none" w:sz="0" w:space="0" w:color="auto"/>
        <w:bottom w:val="none" w:sz="0" w:space="0" w:color="auto"/>
        <w:right w:val="none" w:sz="0" w:space="0" w:color="auto"/>
      </w:divBdr>
    </w:div>
    <w:div w:id="1138720700">
      <w:bodyDiv w:val="1"/>
      <w:marLeft w:val="0"/>
      <w:marRight w:val="0"/>
      <w:marTop w:val="0"/>
      <w:marBottom w:val="0"/>
      <w:divBdr>
        <w:top w:val="none" w:sz="0" w:space="0" w:color="auto"/>
        <w:left w:val="none" w:sz="0" w:space="0" w:color="auto"/>
        <w:bottom w:val="none" w:sz="0" w:space="0" w:color="auto"/>
        <w:right w:val="none" w:sz="0" w:space="0" w:color="auto"/>
      </w:divBdr>
    </w:div>
    <w:div w:id="1180390731">
      <w:bodyDiv w:val="1"/>
      <w:marLeft w:val="0"/>
      <w:marRight w:val="0"/>
      <w:marTop w:val="0"/>
      <w:marBottom w:val="0"/>
      <w:divBdr>
        <w:top w:val="none" w:sz="0" w:space="0" w:color="auto"/>
        <w:left w:val="none" w:sz="0" w:space="0" w:color="auto"/>
        <w:bottom w:val="none" w:sz="0" w:space="0" w:color="auto"/>
        <w:right w:val="none" w:sz="0" w:space="0" w:color="auto"/>
      </w:divBdr>
    </w:div>
    <w:div w:id="1213268595">
      <w:bodyDiv w:val="1"/>
      <w:marLeft w:val="0"/>
      <w:marRight w:val="0"/>
      <w:marTop w:val="0"/>
      <w:marBottom w:val="0"/>
      <w:divBdr>
        <w:top w:val="none" w:sz="0" w:space="0" w:color="auto"/>
        <w:left w:val="none" w:sz="0" w:space="0" w:color="auto"/>
        <w:bottom w:val="none" w:sz="0" w:space="0" w:color="auto"/>
        <w:right w:val="none" w:sz="0" w:space="0" w:color="auto"/>
      </w:divBdr>
    </w:div>
    <w:div w:id="1256743291">
      <w:bodyDiv w:val="1"/>
      <w:marLeft w:val="0"/>
      <w:marRight w:val="0"/>
      <w:marTop w:val="0"/>
      <w:marBottom w:val="0"/>
      <w:divBdr>
        <w:top w:val="none" w:sz="0" w:space="0" w:color="auto"/>
        <w:left w:val="none" w:sz="0" w:space="0" w:color="auto"/>
        <w:bottom w:val="none" w:sz="0" w:space="0" w:color="auto"/>
        <w:right w:val="none" w:sz="0" w:space="0" w:color="auto"/>
      </w:divBdr>
    </w:div>
    <w:div w:id="1281842764">
      <w:bodyDiv w:val="1"/>
      <w:marLeft w:val="0"/>
      <w:marRight w:val="0"/>
      <w:marTop w:val="0"/>
      <w:marBottom w:val="0"/>
      <w:divBdr>
        <w:top w:val="none" w:sz="0" w:space="0" w:color="auto"/>
        <w:left w:val="none" w:sz="0" w:space="0" w:color="auto"/>
        <w:bottom w:val="none" w:sz="0" w:space="0" w:color="auto"/>
        <w:right w:val="none" w:sz="0" w:space="0" w:color="auto"/>
      </w:divBdr>
    </w:div>
    <w:div w:id="1345789302">
      <w:bodyDiv w:val="1"/>
      <w:marLeft w:val="0"/>
      <w:marRight w:val="0"/>
      <w:marTop w:val="0"/>
      <w:marBottom w:val="0"/>
      <w:divBdr>
        <w:top w:val="none" w:sz="0" w:space="0" w:color="auto"/>
        <w:left w:val="none" w:sz="0" w:space="0" w:color="auto"/>
        <w:bottom w:val="none" w:sz="0" w:space="0" w:color="auto"/>
        <w:right w:val="none" w:sz="0" w:space="0" w:color="auto"/>
      </w:divBdr>
    </w:div>
    <w:div w:id="1437099071">
      <w:bodyDiv w:val="1"/>
      <w:marLeft w:val="0"/>
      <w:marRight w:val="0"/>
      <w:marTop w:val="0"/>
      <w:marBottom w:val="0"/>
      <w:divBdr>
        <w:top w:val="none" w:sz="0" w:space="0" w:color="auto"/>
        <w:left w:val="none" w:sz="0" w:space="0" w:color="auto"/>
        <w:bottom w:val="none" w:sz="0" w:space="0" w:color="auto"/>
        <w:right w:val="none" w:sz="0" w:space="0" w:color="auto"/>
      </w:divBdr>
    </w:div>
    <w:div w:id="1753620782">
      <w:bodyDiv w:val="1"/>
      <w:marLeft w:val="0"/>
      <w:marRight w:val="0"/>
      <w:marTop w:val="0"/>
      <w:marBottom w:val="0"/>
      <w:divBdr>
        <w:top w:val="none" w:sz="0" w:space="0" w:color="auto"/>
        <w:left w:val="none" w:sz="0" w:space="0" w:color="auto"/>
        <w:bottom w:val="none" w:sz="0" w:space="0" w:color="auto"/>
        <w:right w:val="none" w:sz="0" w:space="0" w:color="auto"/>
      </w:divBdr>
    </w:div>
    <w:div w:id="1767849173">
      <w:bodyDiv w:val="1"/>
      <w:marLeft w:val="0"/>
      <w:marRight w:val="0"/>
      <w:marTop w:val="0"/>
      <w:marBottom w:val="0"/>
      <w:divBdr>
        <w:top w:val="none" w:sz="0" w:space="0" w:color="auto"/>
        <w:left w:val="none" w:sz="0" w:space="0" w:color="auto"/>
        <w:bottom w:val="none" w:sz="0" w:space="0" w:color="auto"/>
        <w:right w:val="none" w:sz="0" w:space="0" w:color="auto"/>
      </w:divBdr>
    </w:div>
    <w:div w:id="1789467278">
      <w:bodyDiv w:val="1"/>
      <w:marLeft w:val="0"/>
      <w:marRight w:val="0"/>
      <w:marTop w:val="0"/>
      <w:marBottom w:val="0"/>
      <w:divBdr>
        <w:top w:val="none" w:sz="0" w:space="0" w:color="auto"/>
        <w:left w:val="none" w:sz="0" w:space="0" w:color="auto"/>
        <w:bottom w:val="none" w:sz="0" w:space="0" w:color="auto"/>
        <w:right w:val="none" w:sz="0" w:space="0" w:color="auto"/>
      </w:divBdr>
    </w:div>
    <w:div w:id="1897282070">
      <w:bodyDiv w:val="1"/>
      <w:marLeft w:val="0"/>
      <w:marRight w:val="0"/>
      <w:marTop w:val="0"/>
      <w:marBottom w:val="0"/>
      <w:divBdr>
        <w:top w:val="none" w:sz="0" w:space="0" w:color="auto"/>
        <w:left w:val="none" w:sz="0" w:space="0" w:color="auto"/>
        <w:bottom w:val="none" w:sz="0" w:space="0" w:color="auto"/>
        <w:right w:val="none" w:sz="0" w:space="0" w:color="auto"/>
      </w:divBdr>
    </w:div>
    <w:div w:id="2001151387">
      <w:bodyDiv w:val="1"/>
      <w:marLeft w:val="0"/>
      <w:marRight w:val="0"/>
      <w:marTop w:val="0"/>
      <w:marBottom w:val="0"/>
      <w:divBdr>
        <w:top w:val="none" w:sz="0" w:space="0" w:color="auto"/>
        <w:left w:val="none" w:sz="0" w:space="0" w:color="auto"/>
        <w:bottom w:val="none" w:sz="0" w:space="0" w:color="auto"/>
        <w:right w:val="none" w:sz="0" w:space="0" w:color="auto"/>
      </w:divBdr>
    </w:div>
    <w:div w:id="2007511450">
      <w:bodyDiv w:val="1"/>
      <w:marLeft w:val="0"/>
      <w:marRight w:val="0"/>
      <w:marTop w:val="0"/>
      <w:marBottom w:val="0"/>
      <w:divBdr>
        <w:top w:val="none" w:sz="0" w:space="0" w:color="auto"/>
        <w:left w:val="none" w:sz="0" w:space="0" w:color="auto"/>
        <w:bottom w:val="none" w:sz="0" w:space="0" w:color="auto"/>
        <w:right w:val="none" w:sz="0" w:space="0" w:color="auto"/>
      </w:divBdr>
    </w:div>
    <w:div w:id="2064064976">
      <w:bodyDiv w:val="1"/>
      <w:marLeft w:val="0"/>
      <w:marRight w:val="0"/>
      <w:marTop w:val="0"/>
      <w:marBottom w:val="0"/>
      <w:divBdr>
        <w:top w:val="none" w:sz="0" w:space="0" w:color="auto"/>
        <w:left w:val="none" w:sz="0" w:space="0" w:color="auto"/>
        <w:bottom w:val="none" w:sz="0" w:space="0" w:color="auto"/>
        <w:right w:val="none" w:sz="0" w:space="0" w:color="auto"/>
      </w:divBdr>
    </w:div>
    <w:div w:id="2093505591">
      <w:bodyDiv w:val="1"/>
      <w:marLeft w:val="0"/>
      <w:marRight w:val="0"/>
      <w:marTop w:val="0"/>
      <w:marBottom w:val="0"/>
      <w:divBdr>
        <w:top w:val="none" w:sz="0" w:space="0" w:color="auto"/>
        <w:left w:val="none" w:sz="0" w:space="0" w:color="auto"/>
        <w:bottom w:val="none" w:sz="0" w:space="0" w:color="auto"/>
        <w:right w:val="none" w:sz="0" w:space="0" w:color="auto"/>
      </w:divBdr>
    </w:div>
    <w:div w:id="21458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07EA-F862-416B-8C92-0A568C3B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3125</Words>
  <Characters>1782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Grebenyuk</dc:creator>
  <cp:lastModifiedBy>O Pichevskiy</cp:lastModifiedBy>
  <cp:revision>4</cp:revision>
  <cp:lastPrinted>2016-08-08T15:10:00Z</cp:lastPrinted>
  <dcterms:created xsi:type="dcterms:W3CDTF">2016-08-08T15:05:00Z</dcterms:created>
  <dcterms:modified xsi:type="dcterms:W3CDTF">2016-08-08T15:11:00Z</dcterms:modified>
</cp:coreProperties>
</file>