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4" w:rsidRPr="00A50816" w:rsidRDefault="00263954" w:rsidP="00263954">
      <w:pPr>
        <w:shd w:val="clear" w:color="auto" w:fill="FFFFFF"/>
        <w:spacing w:before="150" w:after="150"/>
        <w:ind w:left="450" w:right="450"/>
        <w:jc w:val="center"/>
        <w:rPr>
          <w:color w:val="333333"/>
          <w:sz w:val="24"/>
          <w:szCs w:val="24"/>
          <w:lang w:val="uk-UA" w:eastAsia="en-US"/>
        </w:rPr>
      </w:pPr>
      <w:r w:rsidRPr="00A50816">
        <w:rPr>
          <w:b/>
          <w:bCs/>
          <w:color w:val="333333"/>
          <w:sz w:val="28"/>
          <w:szCs w:val="28"/>
          <w:lang w:val="uk-UA" w:eastAsia="en-US"/>
        </w:rPr>
        <w:t>ПЕРЕЛІК</w:t>
      </w:r>
      <w:r w:rsidRPr="00A50816">
        <w:rPr>
          <w:color w:val="333333"/>
          <w:sz w:val="24"/>
          <w:szCs w:val="24"/>
          <w:lang w:val="uk-UA" w:eastAsia="en-US"/>
        </w:rPr>
        <w:br/>
      </w:r>
      <w:r w:rsidRPr="00A50816">
        <w:rPr>
          <w:b/>
          <w:bCs/>
          <w:color w:val="333333"/>
          <w:sz w:val="28"/>
          <w:szCs w:val="28"/>
          <w:lang w:val="uk-UA" w:eastAsia="en-US"/>
        </w:rPr>
        <w:t>документів, що подаються разом із заявою про надання спеціального дозволу на користування надрами без проведення аукціону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880"/>
        <w:gridCol w:w="635"/>
        <w:gridCol w:w="7174"/>
      </w:tblGrid>
      <w:tr w:rsidR="00263954" w:rsidRPr="00A50816" w:rsidTr="00DD39DD">
        <w:tc>
          <w:tcPr>
            <w:tcW w:w="3765" w:type="dxa"/>
            <w:gridSpan w:val="2"/>
            <w:tcBorders>
              <w:top w:val="single" w:sz="6" w:space="0" w:color="000000"/>
              <w:left w:val="nil"/>
              <w:bottom w:val="single" w:sz="6" w:space="0" w:color="000000"/>
              <w:right w:val="single" w:sz="6" w:space="0" w:color="000000"/>
            </w:tcBorders>
            <w:hideMark/>
          </w:tcPr>
          <w:p w:rsidR="00263954" w:rsidRPr="00A50816" w:rsidRDefault="00263954" w:rsidP="00DD39DD">
            <w:pPr>
              <w:spacing w:before="150" w:after="150"/>
              <w:jc w:val="center"/>
              <w:rPr>
                <w:sz w:val="24"/>
                <w:szCs w:val="24"/>
                <w:lang w:val="uk-UA" w:eastAsia="en-US"/>
              </w:rPr>
            </w:pPr>
            <w:bookmarkStart w:id="0" w:name="n763"/>
            <w:bookmarkEnd w:id="0"/>
            <w:r w:rsidRPr="00A50816">
              <w:rPr>
                <w:sz w:val="24"/>
                <w:szCs w:val="24"/>
                <w:lang w:val="uk-UA" w:eastAsia="en-US"/>
              </w:rPr>
              <w:t>Вид користування надрами</w:t>
            </w:r>
          </w:p>
        </w:tc>
        <w:tc>
          <w:tcPr>
            <w:tcW w:w="5595" w:type="dxa"/>
            <w:tcBorders>
              <w:top w:val="single" w:sz="6" w:space="0" w:color="000000"/>
              <w:left w:val="single" w:sz="6" w:space="0" w:color="000000"/>
              <w:bottom w:val="single" w:sz="6" w:space="0" w:color="000000"/>
              <w:right w:val="nil"/>
            </w:tcBorders>
            <w:hideMark/>
          </w:tcPr>
          <w:p w:rsidR="00263954" w:rsidRPr="00A50816" w:rsidRDefault="00263954" w:rsidP="00DD39DD">
            <w:pPr>
              <w:spacing w:before="150" w:after="150"/>
              <w:jc w:val="center"/>
              <w:rPr>
                <w:sz w:val="24"/>
                <w:szCs w:val="24"/>
                <w:lang w:val="uk-UA" w:eastAsia="en-US"/>
              </w:rPr>
            </w:pPr>
            <w:r w:rsidRPr="00A50816">
              <w:rPr>
                <w:sz w:val="24"/>
                <w:szCs w:val="24"/>
                <w:lang w:val="uk-UA" w:eastAsia="en-US"/>
              </w:rPr>
              <w:t>Найменування документа</w:t>
            </w:r>
          </w:p>
        </w:tc>
      </w:tr>
      <w:tr w:rsidR="00263954" w:rsidRPr="00183CC0" w:rsidTr="00DD39DD">
        <w:tc>
          <w:tcPr>
            <w:tcW w:w="3765" w:type="dxa"/>
            <w:gridSpan w:val="2"/>
            <w:tcBorders>
              <w:top w:val="single" w:sz="6" w:space="0" w:color="000000"/>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5595" w:type="dxa"/>
            <w:tcBorders>
              <w:top w:val="single" w:sz="6" w:space="0" w:color="000000"/>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 потужності підприємства</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каталог географічних координат кутових точок ділянки надр (похибка - менш як 1 секунда)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оглядова карта (масштаб 1:200000)</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ситуаційний план з нанесеними межами площі геологічного вивчення та географічними координатами її кутових точок (похибка - менш як 1 секунда) у масштабі, який дає змогу перевірити правильність визначення координат, а для геологічного вивчення, у тому числі дослідно-промислової розробки підземних вод, - ситуаційний план з нанесеними водозабірними спорудами та їх географічними координатами</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оглядова геологічна карта (масштаб 1:200000 - 1:50000) з лініями проектних геологічних розрізів</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гідрогеологічна карта (для родовищ підземних вод)</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геологічні розрізи</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До зазначеного переліку додаються:</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у разі проведення геологічного вивчення за рахунок коштів державного бюджету - засвідчена в установленому порядку виписка з пооб’єктного плану</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vMerge w:val="restart"/>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у разі розширення меж ділянки надр, наданої для геологічного вивчення, - результати проведення геологорозвідувальних робіт, які підтверджують факт, що родовище (площа) виходить за межі ділянки надр, наданої в користування для геологічного вивчення родовища (площі)</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0" w:type="auto"/>
            <w:vMerge/>
            <w:tcBorders>
              <w:top w:val="nil"/>
              <w:left w:val="nil"/>
              <w:bottom w:val="nil"/>
              <w:right w:val="nil"/>
            </w:tcBorders>
            <w:vAlign w:val="center"/>
            <w:hideMark/>
          </w:tcPr>
          <w:p w:rsidR="00263954" w:rsidRPr="00A50816" w:rsidRDefault="00263954" w:rsidP="00DD39DD">
            <w:pPr>
              <w:rPr>
                <w:sz w:val="24"/>
                <w:szCs w:val="24"/>
                <w:lang w:val="uk-UA" w:eastAsia="en-US"/>
              </w:rPr>
            </w:pP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2. Видобування корисних копалин</w:t>
            </w: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пояснювальна записка з характеристикою об’єкта, стану його геологічного вивчення, методу розробки, обґрунтуванням необхідності використання надр, із зазначенням потужності підприємства</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результати хімічного та бактеріологічного аналізу води строком давності не більш як шість місяців (для родовищ підземних вод)</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копії протоколів, завірені заявником, Державної комісії України по запасах корисних копалин комісії по запасах (Української територіальної комісії по запасах корисних копалин, центральної комісії по запасах корисних копалин, науково-технічних/технічних рад) про затвердження (апробацію) запасів</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каталог географічних координат кутових точок ділянки надр (похибка - менш як 1 секунда) із зазначенням її площі, а для видобування підземних вод - каталог географічних координат водозабірних споруд</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оглядова карта (масштаб не менш як 1:200000)</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 xml:space="preserve">ситуаційний план з нанесеними межами площі видобування та географічними координатами її кутових точок (похибка - менш як 1 секунда) у масштабі, який дає змогу перевірити правильність </w:t>
            </w:r>
            <w:r w:rsidRPr="00A50816">
              <w:rPr>
                <w:sz w:val="24"/>
                <w:szCs w:val="24"/>
                <w:lang w:val="uk-UA" w:eastAsia="en-US"/>
              </w:rPr>
              <w:lastRenderedPageBreak/>
              <w:t>визначення координат, а для підземних вод - ситуаційний план з нанесеними водозабірними спорудами та їх географічними координатами</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план підрахунку запасів корисної копалини на топографічній основі з 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(похибка - менш як 1 секунда), а також з лініями геологічних розрізів</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гідрогеологічна карта (для родовищ підземних вод)</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структурна карта (для родовищ нафти і газу)</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характерні геологічні розрізи з межами категорій запасів та умовними позначками</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До зазначених документів додаються:</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завірена заявником копія висновку з оцінки впливу на довкілля відповідно до </w:t>
            </w:r>
            <w:hyperlink r:id="rId4" w:tgtFrame="_blank" w:history="1">
              <w:r w:rsidRPr="00A50816">
                <w:rPr>
                  <w:color w:val="000099"/>
                  <w:sz w:val="24"/>
                  <w:szCs w:val="24"/>
                  <w:u w:val="single"/>
                  <w:lang w:val="uk-UA" w:eastAsia="en-US"/>
                </w:rPr>
                <w:t>Закону України</w:t>
              </w:r>
            </w:hyperlink>
            <w:r w:rsidRPr="00A50816">
              <w:rPr>
                <w:sz w:val="24"/>
                <w:szCs w:val="24"/>
                <w:lang w:val="uk-UA" w:eastAsia="en-US"/>
              </w:rPr>
              <w:t> “Про оцінку впливу на довкілля”</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джерел фінансування до досягнення підприємством проектної потужності</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у разі продовження строку дії дозволу - завірена заявником копія висновку з оцінки впливу на довкілля відповідно до </w:t>
            </w:r>
            <w:hyperlink r:id="rId5" w:tgtFrame="_blank" w:history="1">
              <w:r w:rsidRPr="00A50816">
                <w:rPr>
                  <w:color w:val="000099"/>
                  <w:sz w:val="24"/>
                  <w:szCs w:val="24"/>
                  <w:u w:val="single"/>
                  <w:lang w:val="uk-UA" w:eastAsia="en-US"/>
                </w:rPr>
                <w:t>Закону України</w:t>
              </w:r>
            </w:hyperlink>
            <w:r w:rsidRPr="00A50816">
              <w:rPr>
                <w:sz w:val="24"/>
                <w:szCs w:val="24"/>
                <w:lang w:val="uk-UA" w:eastAsia="en-US"/>
              </w:rPr>
              <w:t> “Про оцінку впливу на довкілля”</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3.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контролюючого органу і мають відмітку у паспорті, замість зазначеного реєстраційного номера подають копію паспорта із серією, номером та відміткою)</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пояснювальна записка з характеристикою об’єкта та обґрунтуванням необхідності використання надр (для комерційного використання надр)</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каталог географічних координат кутових точок ділянки надр (похибка - менш як 1 секунда) та її площа</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оглядова карта (масштаб більш як 1:200000)</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4.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пояснювальна записка з характеристикою об’єкта та зазначенням мети використання надр, перспективний план розвитку геологічної території (об’єкта) із зазначенням джерел фінансування, програма облаштування території та охорони навколишнього природного середовища</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висновок Інституту геологічних наук Національної академії наук про можливість використання об’єкта з науковою та культурною метою (для територій та об’єктів, які мають важливе наукове і культурне значення)</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каталог географічних координат кутових точок ділянки надр (похибка - менш як 1 секунда) із зазначенням її площі</w:t>
            </w:r>
          </w:p>
        </w:tc>
      </w:tr>
      <w:tr w:rsidR="00263954" w:rsidRPr="00A50816" w:rsidTr="00DD39DD">
        <w:tc>
          <w:tcPr>
            <w:tcW w:w="3765" w:type="dxa"/>
            <w:gridSpan w:val="2"/>
            <w:tcBorders>
              <w:top w:val="nil"/>
              <w:left w:val="nil"/>
              <w:bottom w:val="nil"/>
              <w:right w:val="nil"/>
            </w:tcBorders>
            <w:hideMark/>
          </w:tcPr>
          <w:p w:rsidR="00263954" w:rsidRPr="00A50816" w:rsidRDefault="00263954" w:rsidP="00DD39DD">
            <w:pPr>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оглядова карта (масштаб більш як 1:200000)</w:t>
            </w:r>
          </w:p>
        </w:tc>
      </w:tr>
      <w:tr w:rsidR="00263954" w:rsidRPr="00183CC0" w:rsidTr="00DD39DD">
        <w:tc>
          <w:tcPr>
            <w:tcW w:w="3765" w:type="dxa"/>
            <w:gridSpan w:val="2"/>
            <w:tcBorders>
              <w:top w:val="nil"/>
              <w:left w:val="nil"/>
              <w:bottom w:val="nil"/>
              <w:right w:val="nil"/>
            </w:tcBorders>
            <w:hideMark/>
          </w:tcPr>
          <w:p w:rsidR="00263954" w:rsidRPr="00A50816" w:rsidRDefault="00263954" w:rsidP="00DD39DD">
            <w:pPr>
              <w:spacing w:before="150" w:after="150"/>
              <w:rPr>
                <w:sz w:val="24"/>
                <w:szCs w:val="24"/>
                <w:lang w:val="uk-UA" w:eastAsia="en-US"/>
              </w:rPr>
            </w:pPr>
          </w:p>
        </w:tc>
        <w:tc>
          <w:tcPr>
            <w:tcW w:w="5595" w:type="dxa"/>
            <w:tcBorders>
              <w:top w:val="nil"/>
              <w:left w:val="nil"/>
              <w:bottom w:val="nil"/>
              <w:right w:val="nil"/>
            </w:tcBorders>
            <w:hideMark/>
          </w:tcPr>
          <w:p w:rsidR="00263954" w:rsidRPr="00A50816" w:rsidRDefault="00263954" w:rsidP="00DD39DD">
            <w:pPr>
              <w:spacing w:before="150" w:after="150"/>
              <w:rPr>
                <w:sz w:val="24"/>
                <w:szCs w:val="24"/>
                <w:lang w:val="uk-UA" w:eastAsia="en-US"/>
              </w:rPr>
            </w:pPr>
            <w:r w:rsidRPr="00A50816">
              <w:rPr>
                <w:sz w:val="24"/>
                <w:szCs w:val="24"/>
                <w:lang w:val="uk-UA" w:eastAsia="en-US"/>
              </w:rPr>
              <w:t xml:space="preserve">ситуаційний план з нанесеними межами площі ділянки надр та географічними координатами її кутових точок (похибка - менш як 1 </w:t>
            </w:r>
            <w:r w:rsidRPr="00A50816">
              <w:rPr>
                <w:sz w:val="24"/>
                <w:szCs w:val="24"/>
                <w:lang w:val="uk-UA" w:eastAsia="en-US"/>
              </w:rPr>
              <w:lastRenderedPageBreak/>
              <w:t>секунда) у масштабі, який дає змогу перевірити правильність визначення координат</w:t>
            </w:r>
          </w:p>
        </w:tc>
      </w:tr>
      <w:tr w:rsidR="00263954" w:rsidRPr="00183CC0" w:rsidTr="00DD39D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6"/>
        </w:trPr>
        <w:tc>
          <w:tcPr>
            <w:tcW w:w="2325" w:type="dxa"/>
            <w:vMerge w:val="restart"/>
            <w:tcBorders>
              <w:top w:val="single" w:sz="2" w:space="0" w:color="auto"/>
              <w:left w:val="single" w:sz="2" w:space="0" w:color="auto"/>
              <w:bottom w:val="single" w:sz="2" w:space="0" w:color="auto"/>
              <w:right w:val="single" w:sz="2" w:space="0" w:color="auto"/>
            </w:tcBorders>
            <w:hideMark/>
          </w:tcPr>
          <w:p w:rsidR="00263954" w:rsidRPr="00A50816" w:rsidRDefault="00263954" w:rsidP="00DD39DD">
            <w:pPr>
              <w:spacing w:before="150" w:after="150"/>
              <w:rPr>
                <w:sz w:val="24"/>
                <w:szCs w:val="24"/>
                <w:lang w:val="uk-UA" w:eastAsia="en-US"/>
              </w:rPr>
            </w:pPr>
            <w:bookmarkStart w:id="1" w:name="n764"/>
            <w:bookmarkEnd w:id="1"/>
            <w:r w:rsidRPr="00A50816">
              <w:rPr>
                <w:lang w:val="uk-UA" w:eastAsia="en-US"/>
              </w:rPr>
              <w:lastRenderedPageBreak/>
              <w:t>__________</w:t>
            </w:r>
            <w:r w:rsidRPr="00A50816">
              <w:rPr>
                <w:sz w:val="24"/>
                <w:szCs w:val="24"/>
                <w:lang w:val="uk-UA" w:eastAsia="en-US"/>
              </w:rPr>
              <w:br/>
            </w:r>
            <w:r w:rsidRPr="00A50816">
              <w:rPr>
                <w:lang w:val="uk-UA" w:eastAsia="en-US"/>
              </w:rPr>
              <w:t>Примітки:</w:t>
            </w:r>
          </w:p>
        </w:tc>
        <w:tc>
          <w:tcPr>
            <w:tcW w:w="16830" w:type="dxa"/>
            <w:gridSpan w:val="2"/>
            <w:vMerge w:val="restart"/>
            <w:tcBorders>
              <w:top w:val="single" w:sz="2" w:space="0" w:color="auto"/>
              <w:left w:val="single" w:sz="2" w:space="0" w:color="auto"/>
              <w:bottom w:val="single" w:sz="2" w:space="0" w:color="auto"/>
              <w:right w:val="single" w:sz="2" w:space="0" w:color="auto"/>
            </w:tcBorders>
            <w:hideMark/>
          </w:tcPr>
          <w:p w:rsidR="00263954" w:rsidRPr="00A50816" w:rsidRDefault="00263954" w:rsidP="00DD39DD">
            <w:pPr>
              <w:spacing w:after="150"/>
              <w:ind w:firstLine="450"/>
              <w:jc w:val="both"/>
              <w:rPr>
                <w:sz w:val="24"/>
                <w:szCs w:val="24"/>
                <w:lang w:val="uk-UA" w:eastAsia="en-US"/>
              </w:rPr>
            </w:pPr>
            <w:r w:rsidRPr="00A50816">
              <w:rPr>
                <w:sz w:val="24"/>
                <w:szCs w:val="24"/>
                <w:lang w:val="uk-UA" w:eastAsia="en-US"/>
              </w:rPr>
              <w:br/>
            </w:r>
            <w:r w:rsidRPr="00A50816">
              <w:rPr>
                <w:sz w:val="24"/>
                <w:szCs w:val="24"/>
                <w:lang w:val="uk-UA" w:eastAsia="en-US"/>
              </w:rPr>
              <w:br/>
            </w:r>
            <w:r w:rsidRPr="00A50816">
              <w:rPr>
                <w:lang w:val="uk-UA" w:eastAsia="en-US"/>
              </w:rPr>
              <w:t>1. Іноземні підприємства додатково подають документ, що підтверджує їх реєстрацію в країні місцезнаходження, зокрема витяг із торговельного, банківського або судового реєстру.</w:t>
            </w:r>
            <w:r w:rsidRPr="00A50816">
              <w:rPr>
                <w:sz w:val="24"/>
                <w:szCs w:val="24"/>
                <w:lang w:val="uk-UA" w:eastAsia="en-US"/>
              </w:rPr>
              <w:br/>
            </w:r>
            <w:r w:rsidRPr="00A50816">
              <w:rPr>
                <w:lang w:val="uk-UA" w:eastAsia="en-US"/>
              </w:rPr>
              <w:t>2. Для надання дозволу з метою виконання угод про розподіл продукції подаються документи за переліком, визначеним </w:t>
            </w:r>
            <w:r w:rsidR="00183CC0">
              <w:fldChar w:fldCharType="begin"/>
            </w:r>
            <w:r w:rsidR="00183CC0" w:rsidRPr="00183CC0">
              <w:rPr>
                <w:lang w:val="uk-UA"/>
              </w:rPr>
              <w:instrText xml:space="preserve"> </w:instrText>
            </w:r>
            <w:r w:rsidR="00183CC0">
              <w:instrText>HYPERLINK</w:instrText>
            </w:r>
            <w:r w:rsidR="00183CC0" w:rsidRPr="00183CC0">
              <w:rPr>
                <w:lang w:val="uk-UA"/>
              </w:rPr>
              <w:instrText xml:space="preserve"> "</w:instrText>
            </w:r>
            <w:r w:rsidR="00183CC0">
              <w:instrText>https</w:instrText>
            </w:r>
            <w:r w:rsidR="00183CC0" w:rsidRPr="00183CC0">
              <w:rPr>
                <w:lang w:val="uk-UA"/>
              </w:rPr>
              <w:instrText>://</w:instrText>
            </w:r>
            <w:r w:rsidR="00183CC0">
              <w:instrText>zakon</w:instrText>
            </w:r>
            <w:r w:rsidR="00183CC0" w:rsidRPr="00183CC0">
              <w:rPr>
                <w:lang w:val="uk-UA"/>
              </w:rPr>
              <w:instrText>.</w:instrText>
            </w:r>
            <w:r w:rsidR="00183CC0">
              <w:instrText>rada</w:instrText>
            </w:r>
            <w:r w:rsidR="00183CC0" w:rsidRPr="00183CC0">
              <w:rPr>
                <w:lang w:val="uk-UA"/>
              </w:rPr>
              <w:instrText>.</w:instrText>
            </w:r>
            <w:r w:rsidR="00183CC0">
              <w:instrText>gov</w:instrText>
            </w:r>
            <w:r w:rsidR="00183CC0" w:rsidRPr="00183CC0">
              <w:rPr>
                <w:lang w:val="uk-UA"/>
              </w:rPr>
              <w:instrText>.</w:instrText>
            </w:r>
            <w:r w:rsidR="00183CC0">
              <w:instrText>ua</w:instrText>
            </w:r>
            <w:r w:rsidR="00183CC0" w:rsidRPr="00183CC0">
              <w:rPr>
                <w:lang w:val="uk-UA"/>
              </w:rPr>
              <w:instrText>/</w:instrText>
            </w:r>
            <w:r w:rsidR="00183CC0">
              <w:instrText>laws</w:instrText>
            </w:r>
            <w:r w:rsidR="00183CC0" w:rsidRPr="00183CC0">
              <w:rPr>
                <w:lang w:val="uk-UA"/>
              </w:rPr>
              <w:instrText>/</w:instrText>
            </w:r>
            <w:r w:rsidR="00183CC0">
              <w:instrText>show</w:instrText>
            </w:r>
            <w:r w:rsidR="00183CC0" w:rsidRPr="00183CC0">
              <w:rPr>
                <w:lang w:val="uk-UA"/>
              </w:rPr>
              <w:instrText>/1039-14" \</w:instrText>
            </w:r>
            <w:r w:rsidR="00183CC0">
              <w:instrText>t</w:instrText>
            </w:r>
            <w:r w:rsidR="00183CC0" w:rsidRPr="00183CC0">
              <w:rPr>
                <w:lang w:val="uk-UA"/>
              </w:rPr>
              <w:instrText xml:space="preserve"> "_</w:instrText>
            </w:r>
            <w:r w:rsidR="00183CC0">
              <w:instrText>blank</w:instrText>
            </w:r>
            <w:r w:rsidR="00183CC0" w:rsidRPr="00183CC0">
              <w:rPr>
                <w:lang w:val="uk-UA"/>
              </w:rPr>
              <w:instrText xml:space="preserve">" </w:instrText>
            </w:r>
            <w:r w:rsidR="00183CC0">
              <w:fldChar w:fldCharType="separate"/>
            </w:r>
            <w:r w:rsidRPr="00A50816">
              <w:rPr>
                <w:color w:val="000099"/>
                <w:u w:val="single"/>
                <w:lang w:val="uk-UA" w:eastAsia="en-US"/>
              </w:rPr>
              <w:t>Законом України</w:t>
            </w:r>
            <w:r w:rsidR="00183CC0">
              <w:rPr>
                <w:color w:val="000099"/>
                <w:u w:val="single"/>
                <w:lang w:val="uk-UA" w:eastAsia="en-US"/>
              </w:rPr>
              <w:fldChar w:fldCharType="end"/>
            </w:r>
            <w:r w:rsidRPr="00A50816">
              <w:rPr>
                <w:lang w:val="uk-UA" w:eastAsia="en-US"/>
              </w:rPr>
              <w:t> “Про угоди про розподіл продукції”, у тому числі:</w:t>
            </w:r>
            <w:r w:rsidRPr="00A50816">
              <w:rPr>
                <w:sz w:val="24"/>
                <w:szCs w:val="24"/>
                <w:lang w:val="uk-UA" w:eastAsia="en-US"/>
              </w:rPr>
              <w:br/>
            </w:r>
            <w:r w:rsidRPr="00A50816">
              <w:rPr>
                <w:lang w:val="uk-UA" w:eastAsia="en-US"/>
              </w:rPr>
              <w:t>засвідчена копія укладеної угоди про розподіл продукції;</w:t>
            </w:r>
            <w:r w:rsidRPr="00A50816">
              <w:rPr>
                <w:sz w:val="24"/>
                <w:szCs w:val="24"/>
                <w:lang w:val="uk-UA" w:eastAsia="en-US"/>
              </w:rPr>
              <w:br/>
            </w:r>
            <w:r w:rsidRPr="00A50816">
              <w:rPr>
                <w:lang w:val="uk-UA" w:eastAsia="en-US"/>
              </w:rPr>
              <w:t>засвідчена копія свідоцтва про державну реєстрацію укладеної угоди про розподіл продукції;</w:t>
            </w:r>
            <w:r w:rsidRPr="00A50816">
              <w:rPr>
                <w:sz w:val="24"/>
                <w:szCs w:val="24"/>
                <w:lang w:val="uk-UA" w:eastAsia="en-US"/>
              </w:rPr>
              <w:br/>
            </w:r>
            <w:r w:rsidRPr="00A50816">
              <w:rPr>
                <w:lang w:val="uk-UA" w:eastAsia="en-US"/>
              </w:rPr>
              <w:t>засвідчені копії установчих документів (для юридичних осіб);</w:t>
            </w:r>
            <w:r w:rsidRPr="00A50816">
              <w:rPr>
                <w:sz w:val="24"/>
                <w:szCs w:val="24"/>
                <w:lang w:val="uk-UA" w:eastAsia="en-US"/>
              </w:rPr>
              <w:br/>
            </w:r>
            <w:r w:rsidRPr="00A50816">
              <w:rPr>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сторінки паспорта з такою відміткою).</w:t>
            </w:r>
            <w:r w:rsidRPr="00A50816">
              <w:rPr>
                <w:sz w:val="24"/>
                <w:szCs w:val="24"/>
                <w:lang w:val="uk-UA" w:eastAsia="en-US"/>
              </w:rPr>
              <w:br/>
            </w:r>
            <w:r w:rsidRPr="00A50816">
              <w:rPr>
                <w:lang w:val="uk-UA" w:eastAsia="en-US"/>
              </w:rPr>
              <w:t>3. У разі надання дозволу відповідно до підпункту 2 пункту 8 Порядку надання спеціальних дозволів на користування надрами результати оцінки впливу на довкілля (висновок з оцінки впливу на довкілля) не подаються, якщо розширення меж ділянки надр відповідає </w:t>
            </w:r>
            <w:r w:rsidR="00183CC0">
              <w:fldChar w:fldCharType="begin"/>
            </w:r>
            <w:r w:rsidR="00183CC0" w:rsidRPr="00183CC0">
              <w:rPr>
                <w:lang w:val="uk-UA"/>
              </w:rPr>
              <w:instrText xml:space="preserve"> </w:instrText>
            </w:r>
            <w:r w:rsidR="00183CC0">
              <w:instrText>HYPERLINK</w:instrText>
            </w:r>
            <w:r w:rsidR="00183CC0" w:rsidRPr="00183CC0">
              <w:rPr>
                <w:lang w:val="uk-UA"/>
              </w:rPr>
              <w:instrText xml:space="preserve"> "</w:instrText>
            </w:r>
            <w:r w:rsidR="00183CC0">
              <w:instrText>https</w:instrText>
            </w:r>
            <w:r w:rsidR="00183CC0" w:rsidRPr="00183CC0">
              <w:rPr>
                <w:lang w:val="uk-UA"/>
              </w:rPr>
              <w:instrText>://</w:instrText>
            </w:r>
            <w:r w:rsidR="00183CC0">
              <w:instrText>zakon</w:instrText>
            </w:r>
            <w:r w:rsidR="00183CC0" w:rsidRPr="00183CC0">
              <w:rPr>
                <w:lang w:val="uk-UA"/>
              </w:rPr>
              <w:instrText>.</w:instrText>
            </w:r>
            <w:r w:rsidR="00183CC0">
              <w:instrText>rada</w:instrText>
            </w:r>
            <w:r w:rsidR="00183CC0" w:rsidRPr="00183CC0">
              <w:rPr>
                <w:lang w:val="uk-UA"/>
              </w:rPr>
              <w:instrText>.</w:instrText>
            </w:r>
            <w:r w:rsidR="00183CC0">
              <w:instrText>gov</w:instrText>
            </w:r>
            <w:r w:rsidR="00183CC0" w:rsidRPr="00183CC0">
              <w:rPr>
                <w:lang w:val="uk-UA"/>
              </w:rPr>
              <w:instrText>.</w:instrText>
            </w:r>
            <w:r w:rsidR="00183CC0">
              <w:instrText>ua</w:instrText>
            </w:r>
            <w:r w:rsidR="00183CC0" w:rsidRPr="00183CC0">
              <w:rPr>
                <w:lang w:val="uk-UA"/>
              </w:rPr>
              <w:instrText>/</w:instrText>
            </w:r>
            <w:r w:rsidR="00183CC0">
              <w:instrText>laws</w:instrText>
            </w:r>
            <w:r w:rsidR="00183CC0" w:rsidRPr="00183CC0">
              <w:rPr>
                <w:lang w:val="uk-UA"/>
              </w:rPr>
              <w:instrText>/</w:instrText>
            </w:r>
            <w:r w:rsidR="00183CC0">
              <w:instrText>show</w:instrText>
            </w:r>
            <w:r w:rsidR="00183CC0" w:rsidRPr="00183CC0">
              <w:rPr>
                <w:lang w:val="uk-UA"/>
              </w:rPr>
              <w:instrText>/1010-2017-%</w:instrText>
            </w:r>
            <w:r w:rsidR="00183CC0">
              <w:instrText>D</w:instrText>
            </w:r>
            <w:r w:rsidR="00183CC0" w:rsidRPr="00183CC0">
              <w:rPr>
                <w:lang w:val="uk-UA"/>
              </w:rPr>
              <w:instrText>0%</w:instrText>
            </w:r>
            <w:r w:rsidR="00183CC0">
              <w:instrText>BF</w:instrText>
            </w:r>
            <w:r w:rsidR="00183CC0" w:rsidRPr="00183CC0">
              <w:rPr>
                <w:lang w:val="uk-UA"/>
              </w:rPr>
              <w:instrText>" \</w:instrText>
            </w:r>
            <w:r w:rsidR="00183CC0">
              <w:instrText>l</w:instrText>
            </w:r>
            <w:r w:rsidR="00183CC0" w:rsidRPr="00183CC0">
              <w:rPr>
                <w:lang w:val="uk-UA"/>
              </w:rPr>
              <w:instrText xml:space="preserve"> "</w:instrText>
            </w:r>
            <w:r w:rsidR="00183CC0">
              <w:instrText>n</w:instrText>
            </w:r>
            <w:r w:rsidR="00183CC0" w:rsidRPr="00183CC0">
              <w:rPr>
                <w:lang w:val="uk-UA"/>
              </w:rPr>
              <w:instrText>12" \</w:instrText>
            </w:r>
            <w:r w:rsidR="00183CC0">
              <w:instrText>t</w:instrText>
            </w:r>
            <w:r w:rsidR="00183CC0" w:rsidRPr="00183CC0">
              <w:rPr>
                <w:lang w:val="uk-UA"/>
              </w:rPr>
              <w:instrText xml:space="preserve"> "_</w:instrText>
            </w:r>
            <w:r w:rsidR="00183CC0">
              <w:instrText>blank</w:instrText>
            </w:r>
            <w:r w:rsidR="00183CC0" w:rsidRPr="00183CC0">
              <w:rPr>
                <w:lang w:val="uk-UA"/>
              </w:rPr>
              <w:instrText xml:space="preserve">" </w:instrText>
            </w:r>
            <w:r w:rsidR="00183CC0">
              <w:fldChar w:fldCharType="separate"/>
            </w:r>
            <w:r w:rsidRPr="00A50816">
              <w:rPr>
                <w:color w:val="000099"/>
                <w:u w:val="single"/>
                <w:lang w:val="uk-UA" w:eastAsia="en-US"/>
              </w:rPr>
              <w:t>критеріям</w:t>
            </w:r>
            <w:r w:rsidR="00183CC0">
              <w:rPr>
                <w:color w:val="000099"/>
                <w:u w:val="single"/>
                <w:lang w:val="uk-UA" w:eastAsia="en-US"/>
              </w:rPr>
              <w:fldChar w:fldCharType="end"/>
            </w:r>
            <w:r w:rsidRPr="00A50816">
              <w:rPr>
                <w:lang w:val="uk-UA" w:eastAsia="en-US"/>
              </w:rPr>
              <w:t> визначення розширень і змін діяльності та об’єктів, які не підлягають оцінці впливу на довкілля, затвердженим постановою Кабінету Міністрів України від 13 грудня 2017 р. № 1010 (Офіційний вісник України, 2018 р., № 3, ст. 115).</w:t>
            </w:r>
          </w:p>
        </w:tc>
      </w:tr>
      <w:tr w:rsidR="00263954" w:rsidRPr="00183CC0" w:rsidTr="00DD39D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08"/>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3954" w:rsidRPr="00A50816" w:rsidRDefault="00263954" w:rsidP="00DD39DD">
            <w:pPr>
              <w:rPr>
                <w:sz w:val="24"/>
                <w:szCs w:val="24"/>
                <w:lang w:val="uk-UA" w:eastAsia="en-US"/>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263954" w:rsidRPr="00A50816" w:rsidRDefault="00263954" w:rsidP="00DD39DD">
            <w:pPr>
              <w:rPr>
                <w:sz w:val="24"/>
                <w:szCs w:val="24"/>
                <w:lang w:val="uk-UA" w:eastAsia="en-US"/>
              </w:rPr>
            </w:pPr>
          </w:p>
        </w:tc>
      </w:tr>
    </w:tbl>
    <w:p w:rsidR="00263954" w:rsidRPr="00A50816" w:rsidRDefault="00263954" w:rsidP="00263954">
      <w:pPr>
        <w:spacing w:after="150"/>
        <w:ind w:firstLine="450"/>
        <w:jc w:val="both"/>
        <w:rPr>
          <w:color w:val="000000"/>
          <w:sz w:val="24"/>
          <w:szCs w:val="24"/>
          <w:lang w:val="uk-UA"/>
        </w:rPr>
      </w:pPr>
    </w:p>
    <w:p w:rsidR="00263954" w:rsidRPr="00A50816" w:rsidRDefault="00263954" w:rsidP="00263954">
      <w:pPr>
        <w:spacing w:after="150"/>
        <w:ind w:firstLine="450"/>
        <w:jc w:val="both"/>
        <w:rPr>
          <w:color w:val="000000"/>
          <w:sz w:val="24"/>
          <w:szCs w:val="24"/>
          <w:lang w:val="uk-UA"/>
        </w:rPr>
      </w:pPr>
      <w:r w:rsidRPr="00A50816">
        <w:rPr>
          <w:color w:val="000000"/>
          <w:sz w:val="24"/>
          <w:szCs w:val="24"/>
          <w:lang w:val="uk-UA"/>
        </w:rPr>
        <w:t>ДОДАТКОВО</w:t>
      </w:r>
    </w:p>
    <w:p w:rsidR="00263954" w:rsidRPr="00A50816" w:rsidRDefault="00263954" w:rsidP="00263954">
      <w:pPr>
        <w:pStyle w:val="rvps2"/>
        <w:shd w:val="clear" w:color="auto" w:fill="FFFFFF"/>
        <w:spacing w:before="0" w:beforeAutospacing="0" w:after="150" w:afterAutospacing="0"/>
        <w:ind w:firstLine="450"/>
        <w:jc w:val="both"/>
        <w:rPr>
          <w:color w:val="333333"/>
          <w:lang w:eastAsia="en-US"/>
        </w:rPr>
      </w:pPr>
      <w:r w:rsidRPr="00A50816">
        <w:rPr>
          <w:color w:val="333333"/>
        </w:rPr>
        <w:t>Для отримання дозволу без проведення аукціону заявник подає органові з питань надання дозволу заяву разом з документами, зазначеними у </w:t>
      </w:r>
      <w:hyperlink r:id="rId6" w:anchor="n206" w:history="1">
        <w:r w:rsidRPr="00A50816">
          <w:rPr>
            <w:rStyle w:val="a3"/>
            <w:color w:val="006600"/>
          </w:rPr>
          <w:t>додатку 1</w:t>
        </w:r>
      </w:hyperlink>
      <w:r w:rsidRPr="00A50816">
        <w:rPr>
          <w:color w:val="333333"/>
        </w:rPr>
        <w:t xml:space="preserve"> до Порядку, у паперовій та електронній формі (далі - заява). В електронній формі заява та документи подаються через електронний кабінет </w:t>
      </w:r>
      <w:proofErr w:type="spellStart"/>
      <w:r w:rsidRPr="00A50816">
        <w:rPr>
          <w:color w:val="333333"/>
        </w:rPr>
        <w:t>надрокористувача</w:t>
      </w:r>
      <w:proofErr w:type="spellEnd"/>
      <w:r w:rsidRPr="00A50816">
        <w:rPr>
          <w:color w:val="333333"/>
        </w:rPr>
        <w:t xml:space="preserve">. Порядок функціонування електронного кабінету </w:t>
      </w:r>
      <w:proofErr w:type="spellStart"/>
      <w:r w:rsidRPr="00A50816">
        <w:rPr>
          <w:color w:val="333333"/>
        </w:rPr>
        <w:t>надрокористувача</w:t>
      </w:r>
      <w:proofErr w:type="spellEnd"/>
      <w:r w:rsidRPr="00A50816">
        <w:rPr>
          <w:color w:val="333333"/>
        </w:rPr>
        <w:t xml:space="preserve"> затверджується </w:t>
      </w:r>
      <w:proofErr w:type="spellStart"/>
      <w:r w:rsidRPr="00A50816">
        <w:rPr>
          <w:color w:val="333333"/>
        </w:rPr>
        <w:t>Міндовкіллям</w:t>
      </w:r>
      <w:proofErr w:type="spellEnd"/>
      <w:r w:rsidRPr="00A50816">
        <w:rPr>
          <w:color w:val="333333"/>
        </w:rPr>
        <w:t>.</w:t>
      </w:r>
    </w:p>
    <w:p w:rsidR="00263954" w:rsidRPr="00A50816" w:rsidRDefault="00263954" w:rsidP="00263954">
      <w:pPr>
        <w:pStyle w:val="rvps2"/>
        <w:shd w:val="clear" w:color="auto" w:fill="FFFFFF"/>
        <w:spacing w:before="0" w:beforeAutospacing="0" w:after="150" w:afterAutospacing="0"/>
        <w:ind w:firstLine="450"/>
        <w:jc w:val="both"/>
        <w:rPr>
          <w:color w:val="333333"/>
        </w:rPr>
      </w:pPr>
      <w:bookmarkStart w:id="2" w:name="n770"/>
      <w:bookmarkStart w:id="3" w:name="n603"/>
      <w:bookmarkEnd w:id="2"/>
      <w:bookmarkEnd w:id="3"/>
      <w:r w:rsidRPr="00A50816">
        <w:rPr>
          <w:color w:val="333333"/>
        </w:rPr>
        <w:t>Разом із заявою подаються дві копії заяви та доданих до неї документів. У заяві зазначаються назва ділянки надр, її місцезнаходження відповідно до адміністративно-територіального устрою України (область, район, населений пункт, прив’язка на місцевості), географічні координати ділянки надр, вид корисних копалин, вид користування надрами, строк дії дозволу,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інформація для здійснення зв’язку із заявником (номер телефону, адреса електронної пошти), а також підстава для надання дозволу згідно з </w:t>
      </w:r>
      <w:hyperlink r:id="rId7" w:anchor="n588" w:history="1">
        <w:r w:rsidRPr="00A50816">
          <w:rPr>
            <w:rStyle w:val="a3"/>
            <w:color w:val="006600"/>
          </w:rPr>
          <w:t>пунктом 8</w:t>
        </w:r>
      </w:hyperlink>
      <w:r w:rsidRPr="00A50816">
        <w:rPr>
          <w:color w:val="333333"/>
        </w:rPr>
        <w:t>  Порядку.</w:t>
      </w:r>
    </w:p>
    <w:p w:rsidR="001074F1" w:rsidRPr="00A50816" w:rsidRDefault="00263954" w:rsidP="00183CC0">
      <w:pPr>
        <w:pStyle w:val="rvps2"/>
        <w:shd w:val="clear" w:color="auto" w:fill="FFFFFF"/>
        <w:spacing w:before="0" w:beforeAutospacing="0" w:after="150" w:afterAutospacing="0"/>
        <w:ind w:firstLine="450"/>
        <w:jc w:val="both"/>
      </w:pPr>
      <w:bookmarkStart w:id="4" w:name="n604"/>
      <w:bookmarkEnd w:id="4"/>
      <w:r w:rsidRPr="00A50816">
        <w:rPr>
          <w:color w:val="333333"/>
        </w:rPr>
        <w:t>Заява та додані до неї документи подаються органові з питань надання дозволу з прошитими і пронумерованими сторінками та з описом доданих документів, засвідченим підписом уповноваженої особи заявника. Заява засвідчується підписом уповноваженої особи заявника із зазначенням дати та вихідного номера.</w:t>
      </w:r>
      <w:bookmarkStart w:id="5" w:name="_GoBack"/>
      <w:bookmarkEnd w:id="5"/>
    </w:p>
    <w:sectPr w:rsidR="001074F1" w:rsidRPr="00A508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38"/>
    <w:rsid w:val="001074F1"/>
    <w:rsid w:val="00183CC0"/>
    <w:rsid w:val="00263954"/>
    <w:rsid w:val="00A15838"/>
    <w:rsid w:val="00A5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A4DF-3A09-420C-89B5-270E7BC7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954"/>
    <w:pPr>
      <w:spacing w:after="0" w:line="240" w:lineRule="auto"/>
    </w:pPr>
    <w:rPr>
      <w:rFonts w:eastAsia="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63954"/>
    <w:rPr>
      <w:color w:val="0000FF"/>
      <w:u w:val="single"/>
    </w:rPr>
  </w:style>
  <w:style w:type="paragraph" w:customStyle="1" w:styleId="rvps2">
    <w:name w:val="rvps2"/>
    <w:basedOn w:val="a"/>
    <w:rsid w:val="00263954"/>
    <w:pPr>
      <w:spacing w:before="100" w:beforeAutospacing="1" w:after="100" w:afterAutospacing="1"/>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615-2011-%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15-2011-%D0%BF" TargetMode="External"/><Relationship Id="rId5" Type="http://schemas.openxmlformats.org/officeDocument/2006/relationships/hyperlink" Target="https://zakon.rada.gov.ua/laws/show/2059-19" TargetMode="External"/><Relationship Id="rId4" Type="http://schemas.openxmlformats.org/officeDocument/2006/relationships/hyperlink" Target="https://zakon.rada.gov.ua/laws/show/2059-1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Kyzyma</dc:creator>
  <cp:keywords/>
  <dc:description/>
  <cp:lastModifiedBy>I Kotsiuruba</cp:lastModifiedBy>
  <cp:revision>4</cp:revision>
  <dcterms:created xsi:type="dcterms:W3CDTF">2021-03-23T08:34:00Z</dcterms:created>
  <dcterms:modified xsi:type="dcterms:W3CDTF">2021-03-23T09:18:00Z</dcterms:modified>
</cp:coreProperties>
</file>