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C03" w:rsidRPr="00151CF3" w:rsidRDefault="004D3C03" w:rsidP="004D3C03">
      <w:pPr>
        <w:pStyle w:val="10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151CF3">
        <w:rPr>
          <w:rFonts w:ascii="Times New Roman" w:hAnsi="Times New Roman"/>
          <w:b/>
          <w:sz w:val="26"/>
          <w:szCs w:val="26"/>
        </w:rPr>
        <w:t>Звіт про результати державного геологічного контролю у 2015 році</w:t>
      </w:r>
    </w:p>
    <w:p w:rsidR="004D3C03" w:rsidRPr="00151CF3" w:rsidRDefault="004D3C03" w:rsidP="00DB0779">
      <w:pPr>
        <w:pStyle w:val="1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B0779" w:rsidRPr="00151CF3" w:rsidRDefault="00DB0779" w:rsidP="00DB0779">
      <w:pPr>
        <w:pStyle w:val="10"/>
        <w:ind w:firstLine="708"/>
        <w:jc w:val="both"/>
        <w:rPr>
          <w:rFonts w:ascii="Times New Roman" w:hAnsi="Times New Roman"/>
          <w:sz w:val="26"/>
          <w:szCs w:val="26"/>
        </w:rPr>
      </w:pPr>
      <w:r w:rsidRPr="00151CF3">
        <w:rPr>
          <w:rFonts w:ascii="Times New Roman" w:hAnsi="Times New Roman"/>
          <w:sz w:val="26"/>
          <w:szCs w:val="26"/>
        </w:rPr>
        <w:t>Відповідно до Положення про Державну службу геології та надр України, затвердженого постановою КМУ від 30.12.15 №1174, Держгеонадра України здійснюють державний контроль за геологічним вивченням надр (державний геологічний контроль) та раціональним і ефективним використанням надр України.</w:t>
      </w:r>
    </w:p>
    <w:p w:rsidR="00DB0779" w:rsidRPr="00151CF3" w:rsidRDefault="00DB0779" w:rsidP="00DB0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1CF3">
        <w:rPr>
          <w:rFonts w:ascii="Times New Roman" w:hAnsi="Times New Roman" w:cs="Times New Roman"/>
          <w:sz w:val="26"/>
          <w:szCs w:val="26"/>
        </w:rPr>
        <w:t xml:space="preserve">В структурі Держгеонадр України повноваження щодо здійснення державного геологічного контролю покладені на Департамент державного геологічного контролю, до складу </w:t>
      </w:r>
      <w:r w:rsidRPr="00151CF3">
        <w:rPr>
          <w:rFonts w:ascii="Times New Roman" w:hAnsi="Times New Roman" w:cs="Times New Roman"/>
          <w:color w:val="000000"/>
          <w:sz w:val="26"/>
          <w:szCs w:val="26"/>
        </w:rPr>
        <w:t xml:space="preserve">якого входять </w:t>
      </w:r>
      <w:r w:rsidR="004D3C03" w:rsidRPr="00151CF3">
        <w:rPr>
          <w:rFonts w:ascii="Times New Roman" w:hAnsi="Times New Roman" w:cs="Times New Roman"/>
          <w:color w:val="000000"/>
          <w:sz w:val="26"/>
          <w:szCs w:val="26"/>
        </w:rPr>
        <w:t>37</w:t>
      </w:r>
      <w:r w:rsidRPr="00151C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51CF3">
        <w:rPr>
          <w:rFonts w:ascii="Times New Roman" w:hAnsi="Times New Roman" w:cs="Times New Roman"/>
          <w:sz w:val="26"/>
          <w:szCs w:val="26"/>
        </w:rPr>
        <w:t>посадових осіб, які здійснюють перевірки у 25 адміністративно-територіальних одиницях України вищого рівня.</w:t>
      </w:r>
    </w:p>
    <w:p w:rsidR="00DB0779" w:rsidRPr="00151CF3" w:rsidRDefault="00DB0779" w:rsidP="00DB0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1CF3">
        <w:rPr>
          <w:rFonts w:ascii="Times New Roman" w:hAnsi="Times New Roman" w:cs="Times New Roman"/>
          <w:sz w:val="26"/>
          <w:szCs w:val="26"/>
        </w:rPr>
        <w:t>Державний геологічний контроль здійснюється на підставі Закону України «Про основні засади державного нагляду (контролю) у сфері господарської діяльності» та відповідно до Положення про порядок здійснення державного геологічного контролю, затвердженого постановою Кабінету Міністрів України від 14.12.2011 № 1294.</w:t>
      </w:r>
    </w:p>
    <w:p w:rsidR="00DB0779" w:rsidRPr="00151CF3" w:rsidRDefault="00DB0779" w:rsidP="00DB0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CF3">
        <w:rPr>
          <w:rFonts w:ascii="Times New Roman" w:hAnsi="Times New Roman" w:cs="Times New Roman"/>
          <w:sz w:val="26"/>
          <w:szCs w:val="26"/>
        </w:rPr>
        <w:t>Протягом 2015 року органами державного геологічного контролю проведено 716 заходів державного геологічного контролю (відповідно до таблиц</w:t>
      </w:r>
      <w:r w:rsidR="00A023B8">
        <w:rPr>
          <w:rFonts w:ascii="Times New Roman" w:hAnsi="Times New Roman" w:cs="Times New Roman"/>
          <w:sz w:val="26"/>
          <w:szCs w:val="26"/>
        </w:rPr>
        <w:t>ь</w:t>
      </w:r>
      <w:r w:rsidRPr="00151CF3">
        <w:rPr>
          <w:rFonts w:ascii="Times New Roman" w:hAnsi="Times New Roman" w:cs="Times New Roman"/>
          <w:sz w:val="26"/>
          <w:szCs w:val="26"/>
        </w:rPr>
        <w:t xml:space="preserve"> 1</w:t>
      </w:r>
      <w:r w:rsidR="00A023B8">
        <w:rPr>
          <w:rFonts w:ascii="Times New Roman" w:hAnsi="Times New Roman" w:cs="Times New Roman"/>
          <w:sz w:val="26"/>
          <w:szCs w:val="26"/>
        </w:rPr>
        <w:t>, 2</w:t>
      </w:r>
      <w:r w:rsidRPr="00151CF3">
        <w:rPr>
          <w:rFonts w:ascii="Times New Roman" w:hAnsi="Times New Roman" w:cs="Times New Roman"/>
          <w:sz w:val="26"/>
          <w:szCs w:val="26"/>
        </w:rPr>
        <w:t>), у тому числі 659 планових та 57 позапланових заходів державного геологічного контролю, з яких 20 за зверненням фізичних (юридичних) осіб, 37 за дорученнями правоохоронних органів</w:t>
      </w:r>
      <w:r w:rsidR="004D3C03" w:rsidRPr="00151CF3">
        <w:rPr>
          <w:rFonts w:ascii="Times New Roman" w:hAnsi="Times New Roman" w:cs="Times New Roman"/>
          <w:sz w:val="26"/>
          <w:szCs w:val="26"/>
        </w:rPr>
        <w:t xml:space="preserve"> та </w:t>
      </w:r>
      <w:r w:rsidRPr="00151CF3">
        <w:rPr>
          <w:rFonts w:ascii="Times New Roman" w:hAnsi="Times New Roman" w:cs="Times New Roman"/>
          <w:sz w:val="26"/>
          <w:szCs w:val="26"/>
        </w:rPr>
        <w:t>органів прокуратури.</w:t>
      </w:r>
    </w:p>
    <w:p w:rsidR="00DB0779" w:rsidRPr="00151CF3" w:rsidRDefault="00DB0779" w:rsidP="00DB0779">
      <w:pPr>
        <w:pStyle w:val="a5"/>
        <w:ind w:firstLine="708"/>
        <w:rPr>
          <w:bCs/>
          <w:sz w:val="26"/>
          <w:szCs w:val="26"/>
        </w:rPr>
      </w:pPr>
      <w:r w:rsidRPr="00151CF3">
        <w:rPr>
          <w:bCs/>
          <w:sz w:val="26"/>
          <w:szCs w:val="26"/>
        </w:rPr>
        <w:t>Під час перевірок надрокористувачів, які розробляють родовища корисних копалин, виявлено найбільш суттєві та поширені порушення норм і правил користування надрами, а саме:</w:t>
      </w:r>
    </w:p>
    <w:p w:rsidR="00DB0779" w:rsidRPr="00151CF3" w:rsidRDefault="00DB0779" w:rsidP="00DB077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51CF3">
        <w:rPr>
          <w:rFonts w:ascii="Times New Roman" w:hAnsi="Times New Roman" w:cs="Times New Roman"/>
          <w:bCs/>
          <w:iCs/>
          <w:sz w:val="26"/>
          <w:szCs w:val="26"/>
        </w:rPr>
        <w:t>- не виконання особливих умови дозволу;</w:t>
      </w:r>
    </w:p>
    <w:p w:rsidR="00DB0779" w:rsidRPr="00151CF3" w:rsidRDefault="00DB0779" w:rsidP="00DB0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1CF3">
        <w:rPr>
          <w:rFonts w:ascii="Times New Roman" w:hAnsi="Times New Roman" w:cs="Times New Roman"/>
          <w:bCs/>
          <w:iCs/>
          <w:sz w:val="26"/>
          <w:szCs w:val="26"/>
        </w:rPr>
        <w:t>- не виконання рекомендацій контролюючих органів;</w:t>
      </w:r>
    </w:p>
    <w:p w:rsidR="00DB0779" w:rsidRPr="00151CF3" w:rsidRDefault="00DB0779" w:rsidP="00DB0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1CF3">
        <w:rPr>
          <w:rFonts w:ascii="Times New Roman" w:hAnsi="Times New Roman" w:cs="Times New Roman"/>
          <w:sz w:val="26"/>
          <w:szCs w:val="26"/>
        </w:rPr>
        <w:t>- відсутність геологічної та дозвільної документації на розробку родовища;</w:t>
      </w:r>
    </w:p>
    <w:p w:rsidR="00DB0779" w:rsidRPr="00151CF3" w:rsidRDefault="00DB0779" w:rsidP="00DB0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1CF3">
        <w:rPr>
          <w:rFonts w:ascii="Times New Roman" w:hAnsi="Times New Roman" w:cs="Times New Roman"/>
          <w:sz w:val="26"/>
          <w:szCs w:val="26"/>
        </w:rPr>
        <w:t>- відсутність або не виконання програми робіт та плану розробки родовища;</w:t>
      </w:r>
    </w:p>
    <w:p w:rsidR="00DB0779" w:rsidRPr="00151CF3" w:rsidRDefault="00DB0779" w:rsidP="00DB0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1CF3">
        <w:rPr>
          <w:rFonts w:ascii="Times New Roman" w:hAnsi="Times New Roman" w:cs="Times New Roman"/>
          <w:sz w:val="26"/>
          <w:szCs w:val="26"/>
        </w:rPr>
        <w:t>- не проведення радіаційного контролю за породами в кар’єрі;</w:t>
      </w:r>
    </w:p>
    <w:p w:rsidR="00DB0779" w:rsidRPr="00151CF3" w:rsidRDefault="00DB0779" w:rsidP="00DB0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1CF3">
        <w:rPr>
          <w:rFonts w:ascii="Times New Roman" w:hAnsi="Times New Roman" w:cs="Times New Roman"/>
          <w:sz w:val="26"/>
          <w:szCs w:val="26"/>
        </w:rPr>
        <w:t>- не надання до ДНВП «Геоінформ України» обов’язкової щорічної звітності за формою 5-гр та 7-гр.</w:t>
      </w:r>
    </w:p>
    <w:p w:rsidR="00DB0779" w:rsidRPr="00151CF3" w:rsidRDefault="00DB0779" w:rsidP="00DB0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1CF3">
        <w:rPr>
          <w:rFonts w:ascii="Times New Roman" w:hAnsi="Times New Roman" w:cs="Times New Roman"/>
          <w:sz w:val="26"/>
          <w:szCs w:val="26"/>
        </w:rPr>
        <w:t>Під час перевірок виявлено найбільш суттєві та поширені порушеннями порушення норм і правил користування надрами з метою геологічного вивчення, а саме:</w:t>
      </w:r>
    </w:p>
    <w:p w:rsidR="00DB0779" w:rsidRPr="00151CF3" w:rsidRDefault="00DB0779" w:rsidP="00DB0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1CF3">
        <w:rPr>
          <w:rFonts w:ascii="Times New Roman" w:hAnsi="Times New Roman" w:cs="Times New Roman"/>
          <w:sz w:val="26"/>
          <w:szCs w:val="26"/>
        </w:rPr>
        <w:t>- невиконання Угоди про умови користування надрами та Програма робіт до неї з геологічного вивчення за термінами та обсягами;</w:t>
      </w:r>
    </w:p>
    <w:p w:rsidR="00DB0779" w:rsidRPr="00151CF3" w:rsidRDefault="00DB0779" w:rsidP="00DB0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1CF3">
        <w:rPr>
          <w:rFonts w:ascii="Times New Roman" w:hAnsi="Times New Roman" w:cs="Times New Roman"/>
          <w:sz w:val="26"/>
          <w:szCs w:val="26"/>
        </w:rPr>
        <w:t>- відсутність плану робіт, проекти ДПР, дозвільна документація;</w:t>
      </w:r>
    </w:p>
    <w:p w:rsidR="00DB0779" w:rsidRPr="00151CF3" w:rsidRDefault="00DB0779" w:rsidP="00DB0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1CF3">
        <w:rPr>
          <w:rFonts w:ascii="Times New Roman" w:hAnsi="Times New Roman" w:cs="Times New Roman"/>
          <w:sz w:val="26"/>
          <w:szCs w:val="26"/>
        </w:rPr>
        <w:t>- невиконання особливих умов дозволу.</w:t>
      </w:r>
    </w:p>
    <w:p w:rsidR="00DB0779" w:rsidRPr="00151CF3" w:rsidRDefault="00DB0779" w:rsidP="00DB0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22D7" w:rsidRPr="00151CF3" w:rsidRDefault="007B22D7" w:rsidP="007B22D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51CF3">
        <w:rPr>
          <w:rFonts w:ascii="Times New Roman" w:hAnsi="Times New Roman"/>
          <w:sz w:val="26"/>
          <w:szCs w:val="26"/>
        </w:rPr>
        <w:t xml:space="preserve">Органами державного геологічного контролю на виконання постанови про призначення перевірки від 04.06.2015, винесеною старшим слідчим в особливо важливих справах п’ятого слідчого відділу управління з розслідування особливо важливих справ Головного слідчого управління Генеральної прокуратури України молодшим радником юстиції </w:t>
      </w:r>
      <w:proofErr w:type="spellStart"/>
      <w:r w:rsidRPr="00151CF3">
        <w:rPr>
          <w:rFonts w:ascii="Times New Roman" w:hAnsi="Times New Roman"/>
          <w:sz w:val="26"/>
          <w:szCs w:val="26"/>
        </w:rPr>
        <w:t>Сусом</w:t>
      </w:r>
      <w:proofErr w:type="spellEnd"/>
      <w:r w:rsidRPr="00151CF3">
        <w:rPr>
          <w:rFonts w:ascii="Times New Roman" w:hAnsi="Times New Roman"/>
          <w:sz w:val="26"/>
          <w:szCs w:val="26"/>
        </w:rPr>
        <w:t xml:space="preserve"> Д.М. у рамках досудового розслідування у кримінальному провадженні № 42014000000000375 від 07.05.2014, </w:t>
      </w:r>
      <w:r w:rsidRPr="00151CF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підставі наказу </w:t>
      </w:r>
      <w:proofErr w:type="spellStart"/>
      <w:r w:rsidRPr="00151CF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Держгеонадр</w:t>
      </w:r>
      <w:proofErr w:type="spellEnd"/>
      <w:r w:rsidRPr="00151CF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України від 03.07.2015 № 183 проведено позапланові перевірки діяльності Публічного акціонерного товариства «Укргазвидобування» на об’єктах надрокористування (родовищах, </w:t>
      </w:r>
      <w:r w:rsidRPr="00151CF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 xml:space="preserve">площах), на яких Товариство та його структурні підрозділи проводили роботи згідно з договорами про спільну діяльність з іншими суб’єктами господарювання у період з моменту укладання цих договорів (фактично з 2004 року) по грудень 2014 року.  </w:t>
      </w:r>
    </w:p>
    <w:p w:rsidR="007B22D7" w:rsidRPr="00151CF3" w:rsidRDefault="007B22D7" w:rsidP="007B22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uk-UA"/>
        </w:rPr>
      </w:pPr>
      <w:r w:rsidRPr="00151CF3">
        <w:rPr>
          <w:rFonts w:ascii="Times New Roman" w:hAnsi="Times New Roman"/>
          <w:sz w:val="26"/>
          <w:szCs w:val="26"/>
        </w:rPr>
        <w:t xml:space="preserve">Варто зазначити, що дані перевірки також були передбачені пунктом 3.4 Розділу </w:t>
      </w:r>
      <w:r w:rsidRPr="00151CF3">
        <w:rPr>
          <w:rFonts w:ascii="Times New Roman" w:eastAsia="Times New Roman" w:hAnsi="Times New Roman"/>
          <w:sz w:val="26"/>
          <w:szCs w:val="26"/>
          <w:lang w:eastAsia="uk-UA"/>
        </w:rPr>
        <w:t xml:space="preserve">ХІІ «Реформа енергетики та енергонезалежність» </w:t>
      </w:r>
      <w:r w:rsidRPr="00151CF3">
        <w:rPr>
          <w:rFonts w:ascii="Times New Roman" w:hAnsi="Times New Roman"/>
          <w:sz w:val="26"/>
          <w:szCs w:val="26"/>
          <w:lang w:eastAsia="ru-RU"/>
        </w:rPr>
        <w:t xml:space="preserve">Коаліційної угоди учасників Коаліції депутатських фракцій у Верховній раді України </w:t>
      </w:r>
      <w:r w:rsidRPr="00151CF3">
        <w:rPr>
          <w:rFonts w:ascii="Times New Roman" w:hAnsi="Times New Roman"/>
          <w:sz w:val="26"/>
          <w:szCs w:val="26"/>
          <w:lang w:val="en-US" w:eastAsia="ru-RU"/>
        </w:rPr>
        <w:t>V</w:t>
      </w:r>
      <w:r w:rsidRPr="00151CF3">
        <w:rPr>
          <w:rFonts w:ascii="Times New Roman" w:hAnsi="Times New Roman"/>
          <w:sz w:val="26"/>
          <w:szCs w:val="26"/>
          <w:lang w:eastAsia="ru-RU"/>
        </w:rPr>
        <w:t>ІІІ скликання.</w:t>
      </w:r>
    </w:p>
    <w:p w:rsidR="007B22D7" w:rsidRPr="00151CF3" w:rsidRDefault="007B22D7" w:rsidP="007B22D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51CF3">
        <w:rPr>
          <w:rFonts w:ascii="Times New Roman" w:hAnsi="Times New Roman"/>
          <w:sz w:val="26"/>
          <w:szCs w:val="26"/>
          <w:lang w:eastAsia="ru-RU"/>
        </w:rPr>
        <w:t xml:space="preserve">Зокрема, цим пунктом Коаліційної угоди учасників Коаліції депутатських фракцій у Верховній раді України </w:t>
      </w:r>
      <w:r w:rsidRPr="00151CF3">
        <w:rPr>
          <w:rFonts w:ascii="Times New Roman" w:hAnsi="Times New Roman"/>
          <w:sz w:val="26"/>
          <w:szCs w:val="26"/>
          <w:lang w:val="en-US" w:eastAsia="ru-RU"/>
        </w:rPr>
        <w:t>V</w:t>
      </w:r>
      <w:r w:rsidRPr="00151CF3">
        <w:rPr>
          <w:rFonts w:ascii="Times New Roman" w:hAnsi="Times New Roman"/>
          <w:sz w:val="26"/>
          <w:szCs w:val="26"/>
          <w:lang w:eastAsia="ru-RU"/>
        </w:rPr>
        <w:t>ІІІ скликання встановлено завдання щодо п</w:t>
      </w:r>
      <w:r w:rsidRPr="00151CF3">
        <w:rPr>
          <w:rFonts w:ascii="Times New Roman" w:hAnsi="Times New Roman"/>
          <w:sz w:val="26"/>
          <w:szCs w:val="26"/>
        </w:rPr>
        <w:t>роведення інвентаризації договорів про спільну діяльність у нафтогазовидобувній галузі за участю державних компаній та здійснення комплексного аудиту використання державними і приватними нафтогазовидобувними підприємствами виданих спеціальних дозволів на користування надрами.</w:t>
      </w:r>
    </w:p>
    <w:p w:rsidR="007B22D7" w:rsidRPr="00151CF3" w:rsidRDefault="007B22D7" w:rsidP="007B22D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51CF3">
        <w:rPr>
          <w:rFonts w:ascii="Times New Roman" w:hAnsi="Times New Roman"/>
          <w:sz w:val="26"/>
          <w:szCs w:val="26"/>
        </w:rPr>
        <w:t>За інформацією ПАТ «Укргазвидобування» (лист від 22.12.2014 № 2/2-01-6868) роботи згідно з договорами про спільну діяльність проводилися на 52 родовищах (площах).</w:t>
      </w:r>
    </w:p>
    <w:p w:rsidR="007B22D7" w:rsidRPr="00151CF3" w:rsidRDefault="007B22D7" w:rsidP="007B22D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51CF3">
        <w:rPr>
          <w:rFonts w:ascii="Times New Roman" w:hAnsi="Times New Roman"/>
          <w:sz w:val="26"/>
          <w:szCs w:val="26"/>
        </w:rPr>
        <w:t xml:space="preserve">Перед началом проведення позапланових перевірок </w:t>
      </w:r>
      <w:proofErr w:type="spellStart"/>
      <w:r w:rsidRPr="00151CF3">
        <w:rPr>
          <w:rFonts w:ascii="Times New Roman" w:hAnsi="Times New Roman"/>
          <w:sz w:val="26"/>
          <w:szCs w:val="26"/>
        </w:rPr>
        <w:t>Держгеонадра</w:t>
      </w:r>
      <w:proofErr w:type="spellEnd"/>
      <w:r w:rsidRPr="00151CF3">
        <w:rPr>
          <w:rFonts w:ascii="Times New Roman" w:hAnsi="Times New Roman"/>
          <w:sz w:val="26"/>
          <w:szCs w:val="26"/>
        </w:rPr>
        <w:t xml:space="preserve"> України з метою отримання інформації щодо переліку ділянок надр ПАТ «Укргазвидобування», на яких проводилися роботи відповідно до договорів про спільну діяльність, а також результатів цих робіт протягом 2014-2015 років, зверталися до Міністерства енергетики та вугільної промисловості України (лист від 15.06.2015 № 6852/13/14-15), але відповіді не отримали.</w:t>
      </w:r>
    </w:p>
    <w:p w:rsidR="007B22D7" w:rsidRPr="00151CF3" w:rsidRDefault="007B22D7" w:rsidP="007B22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51CF3">
        <w:rPr>
          <w:rFonts w:ascii="Times New Roman" w:hAnsi="Times New Roman"/>
          <w:sz w:val="26"/>
          <w:szCs w:val="26"/>
        </w:rPr>
        <w:tab/>
      </w:r>
      <w:r w:rsidR="00DC34CD" w:rsidRPr="00151CF3">
        <w:rPr>
          <w:rFonts w:ascii="Times New Roman" w:hAnsi="Times New Roman"/>
          <w:sz w:val="26"/>
          <w:szCs w:val="26"/>
        </w:rPr>
        <w:t>У</w:t>
      </w:r>
      <w:r w:rsidRPr="00151CF3">
        <w:rPr>
          <w:rFonts w:ascii="Times New Roman" w:hAnsi="Times New Roman"/>
          <w:sz w:val="26"/>
          <w:szCs w:val="26"/>
        </w:rPr>
        <w:t xml:space="preserve">сього </w:t>
      </w:r>
      <w:r w:rsidR="00857124" w:rsidRPr="00151CF3">
        <w:rPr>
          <w:rFonts w:ascii="Times New Roman" w:hAnsi="Times New Roman"/>
          <w:sz w:val="26"/>
          <w:szCs w:val="26"/>
        </w:rPr>
        <w:t xml:space="preserve"> у 2015 році</w:t>
      </w:r>
      <w:r w:rsidRPr="00151CF3">
        <w:rPr>
          <w:rFonts w:ascii="Times New Roman" w:hAnsi="Times New Roman"/>
          <w:sz w:val="26"/>
          <w:szCs w:val="26"/>
        </w:rPr>
        <w:t xml:space="preserve"> було проведено 27 позапланових перевірок</w:t>
      </w:r>
      <w:r w:rsidR="00DC34CD" w:rsidRPr="00151CF3">
        <w:rPr>
          <w:rFonts w:ascii="Times New Roman" w:hAnsi="Times New Roman"/>
          <w:sz w:val="26"/>
          <w:szCs w:val="26"/>
        </w:rPr>
        <w:t xml:space="preserve"> </w:t>
      </w:r>
      <w:r w:rsidR="00DC34CD" w:rsidRPr="00151CF3">
        <w:rPr>
          <w:rFonts w:ascii="Times New Roman" w:hAnsi="Times New Roman"/>
          <w:sz w:val="26"/>
          <w:szCs w:val="26"/>
        </w:rPr>
        <w:t>ПАТ «Укргазвидобування»</w:t>
      </w:r>
      <w:r w:rsidRPr="00151CF3">
        <w:rPr>
          <w:rFonts w:ascii="Times New Roman" w:hAnsi="Times New Roman"/>
          <w:sz w:val="26"/>
          <w:szCs w:val="26"/>
        </w:rPr>
        <w:t>.</w:t>
      </w:r>
    </w:p>
    <w:p w:rsidR="007B22D7" w:rsidRPr="00151CF3" w:rsidRDefault="007B22D7" w:rsidP="007B22D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>Так, проведено 10 позапланових перевірок на території діяльності філії ПАТ «Укргазвидобування» «Газопромислове управління «</w:t>
      </w:r>
      <w:proofErr w:type="spellStart"/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>Полтавагазвидобування</w:t>
      </w:r>
      <w:proofErr w:type="spellEnd"/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>» (Полтавська та Сумська області).</w:t>
      </w:r>
    </w:p>
    <w:p w:rsidR="007B22D7" w:rsidRPr="00151CF3" w:rsidRDefault="007B22D7" w:rsidP="007B22D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ab/>
        <w:t>На цій території спільну діяльність ПАТ «Укргазвидобування» здійснювало з ТОВ «</w:t>
      </w:r>
      <w:proofErr w:type="spellStart"/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>Карпатигаз</w:t>
      </w:r>
      <w:proofErr w:type="spellEnd"/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>», ТОВ ВКВ «</w:t>
      </w:r>
      <w:proofErr w:type="spellStart"/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>Діон</w:t>
      </w:r>
      <w:proofErr w:type="spellEnd"/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>», ТОВ «</w:t>
      </w:r>
      <w:proofErr w:type="spellStart"/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>Цефей</w:t>
      </w:r>
      <w:proofErr w:type="spellEnd"/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 xml:space="preserve">», «Надра </w:t>
      </w:r>
      <w:proofErr w:type="spellStart"/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>Геоцентр</w:t>
      </w:r>
      <w:proofErr w:type="spellEnd"/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>», ТОВ НВФ «</w:t>
      </w:r>
      <w:proofErr w:type="spellStart"/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>Техпроект</w:t>
      </w:r>
      <w:proofErr w:type="spellEnd"/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 xml:space="preserve">», ТОВ «Фірма ХАС», ТОВ «Фаворит Систем», ТОВ «Арабський енергетичний альянс </w:t>
      </w:r>
      <w:proofErr w:type="spellStart"/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>юей</w:t>
      </w:r>
      <w:proofErr w:type="spellEnd"/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 xml:space="preserve">», ТОВ «Кувейт </w:t>
      </w:r>
      <w:proofErr w:type="spellStart"/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>енерджі</w:t>
      </w:r>
      <w:proofErr w:type="spellEnd"/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>Юкрейн</w:t>
      </w:r>
      <w:proofErr w:type="spellEnd"/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>», ТОВ «</w:t>
      </w:r>
      <w:proofErr w:type="spellStart"/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>Карпатинадраінвест</w:t>
      </w:r>
      <w:proofErr w:type="spellEnd"/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>» та ТОВ «Природні ресурси+».</w:t>
      </w:r>
    </w:p>
    <w:p w:rsidR="007B22D7" w:rsidRPr="00151CF3" w:rsidRDefault="007B22D7" w:rsidP="007B22D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>На території діяльності філії ПАТ «Укргазвидобування» «Газопромислове управління «</w:t>
      </w:r>
      <w:proofErr w:type="spellStart"/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>Львівгазвидобування</w:t>
      </w:r>
      <w:proofErr w:type="spellEnd"/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>» (Львівська та Івано-Франківська області)  Товариство проводило роботи згідно з договорами про спільну діяльність з ТОВ «</w:t>
      </w:r>
      <w:proofErr w:type="spellStart"/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>Карпатигаз</w:t>
      </w:r>
      <w:proofErr w:type="spellEnd"/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 xml:space="preserve">» на </w:t>
      </w:r>
      <w:proofErr w:type="spellStart"/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>Летнянському</w:t>
      </w:r>
      <w:proofErr w:type="spellEnd"/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>, Свидницькому та Битків-</w:t>
      </w:r>
      <w:proofErr w:type="spellStart"/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>Бабчинському</w:t>
      </w:r>
      <w:proofErr w:type="spellEnd"/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 xml:space="preserve"> родовищах.</w:t>
      </w:r>
    </w:p>
    <w:p w:rsidR="007B22D7" w:rsidRPr="00151CF3" w:rsidRDefault="007B22D7" w:rsidP="007B22D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ab/>
        <w:t>Філія ПАТ «Укргазвидобування» «Газопромислове управління «</w:t>
      </w:r>
      <w:proofErr w:type="spellStart"/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>Шебелинкагазвидобування</w:t>
      </w:r>
      <w:proofErr w:type="spellEnd"/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>» здійснювала роботи відповідно до договорів про спільну діяльність з ТОВ «</w:t>
      </w:r>
      <w:proofErr w:type="spellStart"/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>Карпатигаз</w:t>
      </w:r>
      <w:proofErr w:type="spellEnd"/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>», ТОВ НВФ «</w:t>
      </w:r>
      <w:proofErr w:type="spellStart"/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>Техпроект</w:t>
      </w:r>
      <w:proofErr w:type="spellEnd"/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>», ТОВ ВКФ «</w:t>
      </w:r>
      <w:proofErr w:type="spellStart"/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>Діон</w:t>
      </w:r>
      <w:proofErr w:type="spellEnd"/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 xml:space="preserve">», ТОВ «Надра </w:t>
      </w:r>
      <w:proofErr w:type="spellStart"/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>Геоцентр</w:t>
      </w:r>
      <w:proofErr w:type="spellEnd"/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>», ТОВ «</w:t>
      </w:r>
      <w:proofErr w:type="spellStart"/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>Карпатинадраінвест</w:t>
      </w:r>
      <w:proofErr w:type="spellEnd"/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 xml:space="preserve">», </w:t>
      </w:r>
      <w:proofErr w:type="spellStart"/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>Шелл</w:t>
      </w:r>
      <w:proofErr w:type="spellEnd"/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>Експлорейшн</w:t>
      </w:r>
      <w:proofErr w:type="spellEnd"/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>енд</w:t>
      </w:r>
      <w:proofErr w:type="spellEnd"/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>Продакшн</w:t>
      </w:r>
      <w:proofErr w:type="spellEnd"/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>Юкрейн</w:t>
      </w:r>
      <w:proofErr w:type="spellEnd"/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 xml:space="preserve"> 1 Б.В.</w:t>
      </w:r>
    </w:p>
    <w:p w:rsidR="007B22D7" w:rsidRPr="00151CF3" w:rsidRDefault="007B22D7" w:rsidP="007B22D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ab/>
        <w:t>Позапланові перевірки по цій філії проводилися (всього проведено 14 перевірок) на родовищах, які розташовані у Харківській та Луганській областях.</w:t>
      </w:r>
    </w:p>
    <w:p w:rsidR="007B22D7" w:rsidRPr="00151CF3" w:rsidRDefault="007B22D7" w:rsidP="007B22D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За результатами проведених позапланових перевірок встановлено низку системних порушень чинного законодавства про надра, про які листом </w:t>
      </w:r>
      <w:proofErr w:type="spellStart"/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>Держгеонадр</w:t>
      </w:r>
      <w:proofErr w:type="spellEnd"/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 xml:space="preserve"> України від </w:t>
      </w:r>
      <w:r w:rsidRPr="00151CF3">
        <w:rPr>
          <w:rFonts w:ascii="Times New Roman" w:hAnsi="Times New Roman"/>
          <w:sz w:val="26"/>
          <w:szCs w:val="26"/>
        </w:rPr>
        <w:t>16.11.2015 № 14907/13/14-15 поінформовано Кабінет Міністрів України</w:t>
      </w:r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B22D7" w:rsidRPr="00151CF3" w:rsidRDefault="007B22D7" w:rsidP="007B22D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Варто зазначити, що за результатами проведених позапланових перевірок посадовими особами органів державного геологічного контролю керівникам філій ПАТ «Укргазвидобування» </w:t>
      </w:r>
      <w:r w:rsidR="00D9015D">
        <w:rPr>
          <w:rFonts w:ascii="Times New Roman" w:eastAsia="Times New Roman" w:hAnsi="Times New Roman"/>
          <w:sz w:val="26"/>
          <w:szCs w:val="26"/>
          <w:lang w:eastAsia="ru-RU"/>
        </w:rPr>
        <w:t>оформлено</w:t>
      </w:r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 xml:space="preserve"> акти перевірок та </w:t>
      </w:r>
      <w:r w:rsidR="00D9015D">
        <w:rPr>
          <w:rFonts w:ascii="Times New Roman" w:eastAsia="Times New Roman" w:hAnsi="Times New Roman"/>
          <w:sz w:val="26"/>
          <w:szCs w:val="26"/>
          <w:lang w:eastAsia="ru-RU"/>
        </w:rPr>
        <w:t xml:space="preserve">надано </w:t>
      </w:r>
      <w:bookmarkStart w:id="0" w:name="_GoBack"/>
      <w:bookmarkEnd w:id="0"/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>приписи з установленими термінами для усунення порушень.</w:t>
      </w:r>
    </w:p>
    <w:p w:rsidR="007B22D7" w:rsidRPr="00151CF3" w:rsidRDefault="007B22D7" w:rsidP="0097097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7B22D7" w:rsidRPr="00151CF3" w:rsidRDefault="00F872D2" w:rsidP="007B22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</w:t>
      </w:r>
      <w:r w:rsidR="007B22D7" w:rsidRPr="00151CF3">
        <w:rPr>
          <w:rFonts w:ascii="Times New Roman" w:eastAsia="Times New Roman" w:hAnsi="Times New Roman"/>
          <w:sz w:val="26"/>
          <w:szCs w:val="26"/>
          <w:lang w:eastAsia="ru-RU"/>
        </w:rPr>
        <w:t>о 25 родовищах, на яких філіями «Газопромислове управління «</w:t>
      </w:r>
      <w:proofErr w:type="spellStart"/>
      <w:r w:rsidR="007B22D7" w:rsidRPr="00151CF3">
        <w:rPr>
          <w:rFonts w:ascii="Times New Roman" w:eastAsia="Times New Roman" w:hAnsi="Times New Roman"/>
          <w:sz w:val="26"/>
          <w:szCs w:val="26"/>
          <w:lang w:eastAsia="ru-RU"/>
        </w:rPr>
        <w:t>Шебелинкагазвидобування</w:t>
      </w:r>
      <w:proofErr w:type="spellEnd"/>
      <w:r w:rsidR="007B22D7" w:rsidRPr="00151CF3">
        <w:rPr>
          <w:rFonts w:ascii="Times New Roman" w:eastAsia="Times New Roman" w:hAnsi="Times New Roman"/>
          <w:sz w:val="26"/>
          <w:szCs w:val="26"/>
          <w:lang w:eastAsia="ru-RU"/>
        </w:rPr>
        <w:t>» та «Газопромислове управління «</w:t>
      </w:r>
      <w:proofErr w:type="spellStart"/>
      <w:r w:rsidR="007B22D7" w:rsidRPr="00151CF3">
        <w:rPr>
          <w:rFonts w:ascii="Times New Roman" w:eastAsia="Times New Roman" w:hAnsi="Times New Roman"/>
          <w:sz w:val="26"/>
          <w:szCs w:val="26"/>
          <w:lang w:eastAsia="ru-RU"/>
        </w:rPr>
        <w:t>Полтавагазвидобування</w:t>
      </w:r>
      <w:proofErr w:type="spellEnd"/>
      <w:r w:rsidR="007B22D7" w:rsidRPr="00151CF3">
        <w:rPr>
          <w:rFonts w:ascii="Times New Roman" w:eastAsia="Times New Roman" w:hAnsi="Times New Roman"/>
          <w:sz w:val="26"/>
          <w:szCs w:val="26"/>
          <w:lang w:eastAsia="ru-RU"/>
        </w:rPr>
        <w:t xml:space="preserve">» ПАТ «Укргазвидобування» здійснювали спільну діяльність з іншими суб’єктами господарської діяльності, перевірки </w:t>
      </w:r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 xml:space="preserve"> будуть проводитися протягом 2016 року</w:t>
      </w:r>
      <w:r w:rsidR="007B22D7" w:rsidRPr="00151CF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B22D7" w:rsidRPr="00151CF3" w:rsidRDefault="007B22D7" w:rsidP="007B22D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 xml:space="preserve">Враховуючи зазначене, </w:t>
      </w:r>
      <w:proofErr w:type="spellStart"/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>Держгеонадрами</w:t>
      </w:r>
      <w:proofErr w:type="spellEnd"/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 xml:space="preserve"> України затверджено наказ від 05.10.2015 № 317 про продовження проведення позапланових перевірок діяльності ПАТ «Укргазвидобування» в рамках Договорів про спільну діяльність з іншими суб’єктами господарювання. </w:t>
      </w:r>
    </w:p>
    <w:p w:rsidR="007B22D7" w:rsidRPr="00151CF3" w:rsidRDefault="007B22D7" w:rsidP="007B22D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 xml:space="preserve">Підготовлено у встановленому порядку направлення на проведення позапланових перевірок та </w:t>
      </w:r>
      <w:proofErr w:type="spellStart"/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>вручено</w:t>
      </w:r>
      <w:proofErr w:type="spellEnd"/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 xml:space="preserve"> їх для підписання керівникам ПАТ «Укргазвидобування». Проте, Публічне акціонерне товариство «Укргазвидобування» відмовило у проведенні цих перевірок (лист від 26.10.2015 № 3/1-01-6509). </w:t>
      </w:r>
    </w:p>
    <w:p w:rsidR="00F872D2" w:rsidRPr="00151CF3" w:rsidRDefault="007B22D7" w:rsidP="0097097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7B22D7" w:rsidRPr="00151CF3" w:rsidRDefault="007B22D7" w:rsidP="007B22D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1CF3">
        <w:rPr>
          <w:rFonts w:ascii="Times New Roman" w:hAnsi="Times New Roman" w:cs="Times New Roman"/>
          <w:bCs/>
          <w:sz w:val="26"/>
          <w:szCs w:val="26"/>
        </w:rPr>
        <w:t xml:space="preserve">На виконання наказу </w:t>
      </w:r>
      <w:proofErr w:type="spellStart"/>
      <w:r w:rsidRPr="00151CF3">
        <w:rPr>
          <w:rFonts w:ascii="Times New Roman" w:hAnsi="Times New Roman" w:cs="Times New Roman"/>
          <w:bCs/>
          <w:sz w:val="26"/>
          <w:szCs w:val="26"/>
        </w:rPr>
        <w:t>Держгеонадр</w:t>
      </w:r>
      <w:proofErr w:type="spellEnd"/>
      <w:r w:rsidRPr="00151CF3">
        <w:rPr>
          <w:rFonts w:ascii="Times New Roman" w:hAnsi="Times New Roman" w:cs="Times New Roman"/>
          <w:bCs/>
          <w:sz w:val="26"/>
          <w:szCs w:val="26"/>
        </w:rPr>
        <w:t xml:space="preserve"> України від 22.07.2015 № 210, із змінами, внесен</w:t>
      </w:r>
      <w:r w:rsidR="00F872D2" w:rsidRPr="00151CF3">
        <w:rPr>
          <w:rFonts w:ascii="Times New Roman" w:hAnsi="Times New Roman" w:cs="Times New Roman"/>
          <w:bCs/>
          <w:sz w:val="26"/>
          <w:szCs w:val="26"/>
        </w:rPr>
        <w:t xml:space="preserve">ими наказом </w:t>
      </w:r>
      <w:proofErr w:type="spellStart"/>
      <w:r w:rsidR="00F872D2" w:rsidRPr="00151CF3">
        <w:rPr>
          <w:rFonts w:ascii="Times New Roman" w:hAnsi="Times New Roman" w:cs="Times New Roman"/>
          <w:bCs/>
          <w:sz w:val="26"/>
          <w:szCs w:val="26"/>
        </w:rPr>
        <w:t>Держгеонадр</w:t>
      </w:r>
      <w:proofErr w:type="spellEnd"/>
      <w:r w:rsidR="00F872D2" w:rsidRPr="00151CF3">
        <w:rPr>
          <w:rFonts w:ascii="Times New Roman" w:hAnsi="Times New Roman" w:cs="Times New Roman"/>
          <w:bCs/>
          <w:sz w:val="26"/>
          <w:szCs w:val="26"/>
        </w:rPr>
        <w:t xml:space="preserve"> України</w:t>
      </w:r>
      <w:r w:rsidR="00F872D2" w:rsidRPr="00151CF3">
        <w:rPr>
          <w:rFonts w:ascii="Times New Roman" w:hAnsi="Times New Roman" w:cs="Times New Roman"/>
          <w:bCs/>
          <w:sz w:val="26"/>
          <w:szCs w:val="26"/>
        </w:rPr>
        <w:br/>
      </w:r>
      <w:r w:rsidRPr="00151CF3">
        <w:rPr>
          <w:rFonts w:ascii="Times New Roman" w:hAnsi="Times New Roman" w:cs="Times New Roman"/>
          <w:bCs/>
          <w:sz w:val="26"/>
          <w:szCs w:val="26"/>
        </w:rPr>
        <w:t xml:space="preserve">від 03.08.2015 № 225, у зв’язку з надходженням до </w:t>
      </w:r>
      <w:proofErr w:type="spellStart"/>
      <w:r w:rsidRPr="00151CF3">
        <w:rPr>
          <w:rFonts w:ascii="Times New Roman" w:hAnsi="Times New Roman" w:cs="Times New Roman"/>
          <w:bCs/>
          <w:sz w:val="26"/>
          <w:szCs w:val="26"/>
        </w:rPr>
        <w:t>Держгеонадр</w:t>
      </w:r>
      <w:proofErr w:type="spellEnd"/>
      <w:r w:rsidRPr="00151CF3">
        <w:rPr>
          <w:rFonts w:ascii="Times New Roman" w:hAnsi="Times New Roman" w:cs="Times New Roman"/>
          <w:bCs/>
          <w:sz w:val="26"/>
          <w:szCs w:val="26"/>
        </w:rPr>
        <w:t xml:space="preserve"> України листа ПАТ НАК</w:t>
      </w:r>
      <w:r w:rsidR="00F872D2" w:rsidRPr="00151CF3">
        <w:rPr>
          <w:rFonts w:ascii="Times New Roman" w:hAnsi="Times New Roman" w:cs="Times New Roman"/>
          <w:bCs/>
          <w:sz w:val="26"/>
          <w:szCs w:val="26"/>
        </w:rPr>
        <w:t xml:space="preserve"> «Надра України» від 09.07.2015</w:t>
      </w:r>
      <w:r w:rsidR="00F872D2" w:rsidRPr="00151CF3">
        <w:rPr>
          <w:rFonts w:ascii="Times New Roman" w:hAnsi="Times New Roman" w:cs="Times New Roman"/>
          <w:bCs/>
          <w:sz w:val="26"/>
          <w:szCs w:val="26"/>
        </w:rPr>
        <w:br/>
      </w:r>
      <w:r w:rsidRPr="00151CF3">
        <w:rPr>
          <w:rFonts w:ascii="Times New Roman" w:hAnsi="Times New Roman" w:cs="Times New Roman"/>
          <w:bCs/>
          <w:sz w:val="26"/>
          <w:szCs w:val="26"/>
        </w:rPr>
        <w:t>№ 1051/2/01/14, проведено 12 перевірок діяльності ПАТ НАК «Надра України» та її дочірніх підприємств згідно зі спеціальними дозволами на користування надрами з питання дотримання законодавства про надра під час проведення робіт, визначених договорами про спільну діяльність</w:t>
      </w:r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>, а також їх доцільності та ефективності</w:t>
      </w:r>
      <w:r w:rsidRPr="00151CF3">
        <w:rPr>
          <w:rFonts w:ascii="Times New Roman" w:hAnsi="Times New Roman" w:cs="Times New Roman"/>
          <w:bCs/>
          <w:sz w:val="26"/>
          <w:szCs w:val="26"/>
        </w:rPr>
        <w:t>.</w:t>
      </w:r>
    </w:p>
    <w:p w:rsidR="007B22D7" w:rsidRPr="00151CF3" w:rsidRDefault="007B22D7" w:rsidP="007B22D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>За результатами проведених перевірок встановлено низку порушень чинного законодавства, у тому числі невиконання окремих договорів спільної діяльності.</w:t>
      </w:r>
    </w:p>
    <w:p w:rsidR="007B22D7" w:rsidRPr="00151CF3" w:rsidRDefault="007B22D7" w:rsidP="007B22D7">
      <w:pPr>
        <w:spacing w:after="0" w:line="240" w:lineRule="auto"/>
        <w:ind w:right="-113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>У більшій частині випадків причина полягає в тому, що у зв’язку з відсутністю бюджетного фінансування, роботи на об’єктах надрокористування ПАТ НАК «Надра України» відповідно до  Програми спільної діяльності повинні були проводитися за кошти інвесторів. Проте, інвестори не завжди здійснювали у повному обсязі фінансування геологорозвідувальних робіт.</w:t>
      </w:r>
    </w:p>
    <w:p w:rsidR="007B22D7" w:rsidRPr="00151CF3" w:rsidRDefault="007B22D7" w:rsidP="007B22D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51CF3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4E0809" w:rsidRPr="004E0809" w:rsidRDefault="004E0809" w:rsidP="004E080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0809">
        <w:rPr>
          <w:rFonts w:ascii="Times New Roman" w:hAnsi="Times New Roman" w:cs="Times New Roman"/>
          <w:b/>
          <w:sz w:val="24"/>
          <w:szCs w:val="24"/>
        </w:rPr>
        <w:t>Таблиця 1</w:t>
      </w:r>
    </w:p>
    <w:p w:rsidR="004E0809" w:rsidRPr="004E0809" w:rsidRDefault="004E0809" w:rsidP="004E08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352255245"/>
      <w:bookmarkStart w:id="2" w:name="_Toc352315188"/>
      <w:bookmarkStart w:id="3" w:name="_Toc352598781"/>
      <w:bookmarkStart w:id="4" w:name="_Toc352599365"/>
      <w:bookmarkStart w:id="5" w:name="_Toc354490297"/>
      <w:bookmarkStart w:id="6" w:name="_Toc355084816"/>
      <w:bookmarkStart w:id="7" w:name="_Toc123866908"/>
      <w:bookmarkStart w:id="8" w:name="_Toc124533185"/>
      <w:bookmarkStart w:id="9" w:name="_Toc124541456"/>
      <w:bookmarkStart w:id="10" w:name="_Toc124555168"/>
      <w:bookmarkStart w:id="11" w:name="_Toc124555431"/>
      <w:bookmarkStart w:id="12" w:name="_Toc125144386"/>
      <w:bookmarkStart w:id="13" w:name="_Toc133457073"/>
      <w:bookmarkStart w:id="14" w:name="_Toc133532729"/>
      <w:bookmarkStart w:id="15" w:name="_Toc141736124"/>
      <w:bookmarkStart w:id="16" w:name="_Toc432163795"/>
      <w:bookmarkStart w:id="17" w:name="_Toc433296788"/>
      <w:bookmarkStart w:id="18" w:name="_Toc438815078"/>
      <w:bookmarkStart w:id="19" w:name="_Toc438815342"/>
      <w:bookmarkStart w:id="20" w:name="_Toc439773217"/>
      <w:r w:rsidRPr="004E0809">
        <w:rPr>
          <w:rFonts w:ascii="Times New Roman" w:hAnsi="Times New Roman" w:cs="Times New Roman"/>
          <w:b/>
          <w:sz w:val="24"/>
          <w:szCs w:val="24"/>
        </w:rPr>
        <w:t>Узагальнені результати перевірок надрокористувачів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tbl>
      <w:tblPr>
        <w:tblW w:w="15735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1842"/>
        <w:gridCol w:w="3544"/>
        <w:gridCol w:w="2410"/>
        <w:gridCol w:w="1275"/>
        <w:gridCol w:w="7"/>
        <w:gridCol w:w="1412"/>
        <w:gridCol w:w="2551"/>
        <w:gridCol w:w="2694"/>
      </w:tblGrid>
      <w:tr w:rsidR="004E0809" w:rsidRPr="000164E1" w:rsidTr="004E0809">
        <w:trPr>
          <w:trHeight w:val="564"/>
        </w:trPr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Територіальний сектор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Вид користування надрами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Кількість перевірених суб’єктів </w:t>
            </w:r>
            <w:r w:rsidRPr="000164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br/>
              <w:t>господарювання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перевірених с/д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A0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виявлених порушень (планові/позапланові)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наданих приписів (планові/поза-планові)</w:t>
            </w:r>
          </w:p>
        </w:tc>
      </w:tr>
      <w:tr w:rsidR="004E0809" w:rsidRPr="000164E1" w:rsidTr="004E0809">
        <w:trPr>
          <w:trHeight w:val="2052"/>
        </w:trPr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Планові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Позапланові</w:t>
            </w: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</w:tr>
      <w:tr w:rsidR="004E0809" w:rsidRPr="000164E1" w:rsidTr="004E0809">
        <w:trPr>
          <w:trHeight w:val="324"/>
        </w:trPr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7</w:t>
            </w:r>
          </w:p>
        </w:tc>
      </w:tr>
      <w:tr w:rsidR="004E0809" w:rsidRPr="000164E1" w:rsidTr="004E0809">
        <w:trPr>
          <w:trHeight w:val="720"/>
        </w:trPr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lastRenderedPageBreak/>
              <w:t>Центральний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Експлуатація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156</w:t>
            </w:r>
          </w:p>
        </w:tc>
        <w:tc>
          <w:tcPr>
            <w:tcW w:w="12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170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 (1 б/д)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387/62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165/12</w:t>
            </w:r>
          </w:p>
        </w:tc>
      </w:tr>
      <w:tr w:rsidR="004E0809" w:rsidRPr="000164E1" w:rsidTr="004E0809">
        <w:trPr>
          <w:trHeight w:val="840"/>
        </w:trPr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Геологічне вивчення у </w:t>
            </w:r>
            <w:proofErr w:type="spellStart"/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т.ч</w:t>
            </w:r>
            <w:proofErr w:type="spellEnd"/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 ДПР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37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118/1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42/1</w:t>
            </w:r>
          </w:p>
        </w:tc>
      </w:tr>
      <w:tr w:rsidR="004E0809" w:rsidRPr="000164E1" w:rsidTr="004E0809">
        <w:trPr>
          <w:trHeight w:val="312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Східний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Експлуатація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122/49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42/12</w:t>
            </w:r>
          </w:p>
        </w:tc>
      </w:tr>
      <w:tr w:rsidR="004E0809" w:rsidRPr="000164E1" w:rsidTr="004E0809">
        <w:trPr>
          <w:trHeight w:val="84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Геологічне вивчення у </w:t>
            </w:r>
            <w:proofErr w:type="spellStart"/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т.ч</w:t>
            </w:r>
            <w:proofErr w:type="spellEnd"/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 ДПР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46/12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17/3</w:t>
            </w:r>
          </w:p>
        </w:tc>
      </w:tr>
      <w:tr w:rsidR="004E0809" w:rsidRPr="000164E1" w:rsidTr="004E0809">
        <w:trPr>
          <w:trHeight w:val="312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Південний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Експлуатація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212/2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85/1</w:t>
            </w:r>
          </w:p>
        </w:tc>
      </w:tr>
      <w:tr w:rsidR="004E0809" w:rsidRPr="000164E1" w:rsidTr="004E0809">
        <w:trPr>
          <w:trHeight w:val="84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Геологічне вивчення у </w:t>
            </w:r>
            <w:proofErr w:type="spellStart"/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т.ч</w:t>
            </w:r>
            <w:proofErr w:type="spellEnd"/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 ДПР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</w:t>
            </w:r>
          </w:p>
        </w:tc>
      </w:tr>
      <w:tr w:rsidR="004E0809" w:rsidRPr="000164E1" w:rsidTr="004E0809">
        <w:trPr>
          <w:trHeight w:val="312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Північний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Експлуатація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28</w:t>
            </w:r>
          </w:p>
        </w:tc>
        <w:tc>
          <w:tcPr>
            <w:tcW w:w="12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36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103/58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32/10</w:t>
            </w:r>
          </w:p>
        </w:tc>
      </w:tr>
      <w:tr w:rsidR="004E0809" w:rsidRPr="000164E1" w:rsidTr="004E0809">
        <w:trPr>
          <w:trHeight w:val="84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Геологічне вивчення у </w:t>
            </w:r>
            <w:proofErr w:type="spellStart"/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т.ч</w:t>
            </w:r>
            <w:proofErr w:type="spellEnd"/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 ДПР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75/0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25/0</w:t>
            </w:r>
          </w:p>
        </w:tc>
      </w:tr>
      <w:tr w:rsidR="004E0809" w:rsidRPr="000164E1" w:rsidTr="004E0809">
        <w:trPr>
          <w:trHeight w:val="351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Азово-Чорноморський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Експлуатація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126/1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47/1</w:t>
            </w:r>
          </w:p>
        </w:tc>
      </w:tr>
      <w:tr w:rsidR="004E0809" w:rsidRPr="000164E1" w:rsidTr="004E0809">
        <w:trPr>
          <w:trHeight w:val="932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Геологічне вивчення у </w:t>
            </w:r>
            <w:proofErr w:type="spellStart"/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т.ч</w:t>
            </w:r>
            <w:proofErr w:type="spellEnd"/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 ДПР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54/0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23/0</w:t>
            </w:r>
          </w:p>
        </w:tc>
      </w:tr>
      <w:tr w:rsidR="004E0809" w:rsidRPr="000164E1" w:rsidTr="004E0809">
        <w:trPr>
          <w:trHeight w:val="351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Західний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Експлуатація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iCs/>
                <w:color w:val="000000"/>
                <w:lang w:eastAsia="uk-UA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 (3 б/д)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181/6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53/3</w:t>
            </w:r>
          </w:p>
        </w:tc>
      </w:tr>
      <w:tr w:rsidR="004E0809" w:rsidRPr="000164E1" w:rsidTr="004E0809">
        <w:trPr>
          <w:trHeight w:val="932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Геологічне вивчення у </w:t>
            </w:r>
            <w:proofErr w:type="spellStart"/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т.ч</w:t>
            </w:r>
            <w:proofErr w:type="spellEnd"/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 ДПР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iCs/>
                <w:color w:val="000000"/>
                <w:lang w:eastAsia="uk-UA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105/54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31/9</w:t>
            </w:r>
          </w:p>
        </w:tc>
      </w:tr>
      <w:tr w:rsidR="004E0809" w:rsidRPr="000164E1" w:rsidTr="004E0809">
        <w:trPr>
          <w:trHeight w:val="702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Експлуатація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401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476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 xml:space="preserve">37 с/д     </w:t>
            </w:r>
          </w:p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(4 б/д)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1133/176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425/38</w:t>
            </w:r>
          </w:p>
        </w:tc>
      </w:tr>
      <w:tr w:rsidR="004E0809" w:rsidRPr="000164E1" w:rsidTr="004E0809">
        <w:trPr>
          <w:trHeight w:val="932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Геологічне вивчення у </w:t>
            </w:r>
            <w:proofErr w:type="spellStart"/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т.ч</w:t>
            </w:r>
            <w:proofErr w:type="spellEnd"/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 ДПР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151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183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460/67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155/13</w:t>
            </w:r>
          </w:p>
        </w:tc>
      </w:tr>
      <w:tr w:rsidR="004E0809" w:rsidRPr="000164E1" w:rsidTr="004E0809">
        <w:trPr>
          <w:trHeight w:val="932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lastRenderedPageBreak/>
              <w:t>Всього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552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659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 xml:space="preserve">53 с/д </w:t>
            </w:r>
          </w:p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(4 б/д)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1591/245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579/52</w:t>
            </w:r>
          </w:p>
        </w:tc>
      </w:tr>
    </w:tbl>
    <w:p w:rsidR="004E0809" w:rsidRPr="004E0809" w:rsidRDefault="004E0809" w:rsidP="000E37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0809" w:rsidRPr="004E0809" w:rsidRDefault="004E0809" w:rsidP="004E0809">
      <w:pPr>
        <w:ind w:left="567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21" w:name="_Toc352255247"/>
      <w:bookmarkStart w:id="22" w:name="_Toc352315190"/>
      <w:bookmarkStart w:id="23" w:name="_Toc352598783"/>
      <w:bookmarkStart w:id="24" w:name="_Toc352599367"/>
      <w:bookmarkStart w:id="25" w:name="_Toc354490299"/>
      <w:bookmarkStart w:id="26" w:name="_Toc355084818"/>
      <w:bookmarkStart w:id="27" w:name="_Toc123866910"/>
      <w:bookmarkStart w:id="28" w:name="_Toc124533187"/>
      <w:bookmarkStart w:id="29" w:name="_Toc124541458"/>
      <w:bookmarkStart w:id="30" w:name="_Toc124555170"/>
      <w:bookmarkStart w:id="31" w:name="_Toc124555433"/>
      <w:bookmarkStart w:id="32" w:name="_Toc125144388"/>
      <w:bookmarkStart w:id="33" w:name="_Toc133457075"/>
      <w:bookmarkStart w:id="34" w:name="_Toc133532731"/>
      <w:bookmarkStart w:id="35" w:name="_Toc141736126"/>
      <w:bookmarkStart w:id="36" w:name="_Toc432163797"/>
      <w:bookmarkStart w:id="37" w:name="_Toc433296790"/>
      <w:bookmarkStart w:id="38" w:name="_Toc438815080"/>
      <w:bookmarkStart w:id="39" w:name="_Toc438815344"/>
      <w:bookmarkStart w:id="40" w:name="_Toc439773219"/>
      <w:r w:rsidRPr="004E0809">
        <w:rPr>
          <w:rFonts w:ascii="Times New Roman" w:hAnsi="Times New Roman" w:cs="Times New Roman"/>
          <w:b/>
          <w:sz w:val="24"/>
          <w:szCs w:val="24"/>
        </w:rPr>
        <w:t>Таблиця 2</w:t>
      </w:r>
    </w:p>
    <w:p w:rsidR="004E0809" w:rsidRPr="004E0809" w:rsidRDefault="004E0809" w:rsidP="004E0809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809">
        <w:rPr>
          <w:rFonts w:ascii="Times New Roman" w:hAnsi="Times New Roman" w:cs="Times New Roman"/>
          <w:b/>
          <w:sz w:val="24"/>
          <w:szCs w:val="24"/>
        </w:rPr>
        <w:t>Узагальнені результати перевірок з розподілом по видах сировини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:rsidR="004E0809" w:rsidRPr="004E0809" w:rsidRDefault="004E0809" w:rsidP="000E37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20" w:type="dxa"/>
        <w:jc w:val="center"/>
        <w:tblLook w:val="04A0" w:firstRow="1" w:lastRow="0" w:firstColumn="1" w:lastColumn="0" w:noHBand="0" w:noVBand="1"/>
      </w:tblPr>
      <w:tblGrid>
        <w:gridCol w:w="1466"/>
        <w:gridCol w:w="912"/>
        <w:gridCol w:w="957"/>
        <w:gridCol w:w="905"/>
        <w:gridCol w:w="945"/>
        <w:gridCol w:w="913"/>
        <w:gridCol w:w="957"/>
        <w:gridCol w:w="905"/>
        <w:gridCol w:w="945"/>
        <w:gridCol w:w="941"/>
        <w:gridCol w:w="955"/>
        <w:gridCol w:w="913"/>
        <w:gridCol w:w="945"/>
        <w:gridCol w:w="913"/>
        <w:gridCol w:w="1048"/>
      </w:tblGrid>
      <w:tr w:rsidR="004E0809" w:rsidRPr="000164E1" w:rsidTr="004E0809">
        <w:trPr>
          <w:trHeight w:val="54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Центральний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Східний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Південний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Північний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Азово-Чорноморський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Західний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Разом</w:t>
            </w:r>
          </w:p>
        </w:tc>
      </w:tr>
      <w:tr w:rsidR="004E0809" w:rsidRPr="000164E1" w:rsidTr="004E0809">
        <w:trPr>
          <w:trHeight w:val="192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Кількість перевірок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Кількість порушень/приписів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Кількість перевірок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Кількість порушень/приписів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Кількість перевірок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Кількість порушень/приписів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Кількість перевірок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Кількість порушень/приписів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Кількість перевірок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Кількість порушень/приписів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Кількість перевірок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Кількість порушень/приписів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Кількість перевірок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Кількість порушень/приписів</w:t>
            </w:r>
          </w:p>
        </w:tc>
      </w:tr>
      <w:tr w:rsidR="004E0809" w:rsidRPr="000164E1" w:rsidTr="004E0809">
        <w:trPr>
          <w:trHeight w:val="300"/>
          <w:jc w:val="center"/>
        </w:trPr>
        <w:tc>
          <w:tcPr>
            <w:tcW w:w="146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Видобування</w:t>
            </w:r>
          </w:p>
        </w:tc>
      </w:tr>
      <w:tr w:rsidR="004E0809" w:rsidRPr="000164E1" w:rsidTr="004E0809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</w:t>
            </w:r>
          </w:p>
        </w:tc>
      </w:tr>
      <w:tr w:rsidR="004E0809" w:rsidRPr="000164E1" w:rsidTr="004E0809">
        <w:trPr>
          <w:trHeight w:val="51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граніти, гнейси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106/ 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59/20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10/3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14/10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189/75</w:t>
            </w:r>
          </w:p>
        </w:tc>
      </w:tr>
      <w:tr w:rsidR="004E0809" w:rsidRPr="000164E1" w:rsidTr="004E0809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пегматити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7/1</w:t>
            </w:r>
          </w:p>
        </w:tc>
      </w:tr>
      <w:tr w:rsidR="004E0809" w:rsidRPr="000164E1" w:rsidTr="004E0809">
        <w:trPr>
          <w:trHeight w:val="51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габро, анортозити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29/ 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29/15</w:t>
            </w:r>
          </w:p>
        </w:tc>
      </w:tr>
      <w:tr w:rsidR="004E0809" w:rsidRPr="000164E1" w:rsidTr="004E0809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лабрадорит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12/5</w:t>
            </w:r>
          </w:p>
        </w:tc>
      </w:tr>
      <w:tr w:rsidR="004E0809" w:rsidRPr="000164E1" w:rsidTr="004E0809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базальт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6/3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6/3</w:t>
            </w:r>
          </w:p>
        </w:tc>
      </w:tr>
      <w:tr w:rsidR="004E0809" w:rsidRPr="000164E1" w:rsidTr="004E0809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кварцит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0/0</w:t>
            </w:r>
          </w:p>
        </w:tc>
      </w:tr>
      <w:tr w:rsidR="004E0809" w:rsidRPr="000164E1" w:rsidTr="004E0809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пісковик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0/1</w:t>
            </w:r>
          </w:p>
        </w:tc>
      </w:tr>
      <w:tr w:rsidR="004E0809" w:rsidRPr="000164E1" w:rsidTr="004E0809">
        <w:trPr>
          <w:trHeight w:val="51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піщано-грав. суміш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0/0</w:t>
            </w:r>
          </w:p>
        </w:tc>
      </w:tr>
      <w:tr w:rsidR="004E0809" w:rsidRPr="000164E1" w:rsidTr="004E0809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пісок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80/ 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30/12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20/7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29/10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25/8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169/62</w:t>
            </w:r>
          </w:p>
        </w:tc>
      </w:tr>
      <w:tr w:rsidR="004E0809" w:rsidRPr="000164E1" w:rsidTr="004E0809">
        <w:trPr>
          <w:trHeight w:val="51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суглинки, глини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53/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43/14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35/7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133/43</w:t>
            </w:r>
          </w:p>
        </w:tc>
      </w:tr>
      <w:tr w:rsidR="004E0809" w:rsidRPr="000164E1" w:rsidTr="004E0809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каолін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24/8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30/10</w:t>
            </w:r>
          </w:p>
        </w:tc>
      </w:tr>
      <w:tr w:rsidR="004E0809" w:rsidRPr="000164E1" w:rsidTr="004E0809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доломіти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4/1</w:t>
            </w:r>
          </w:p>
        </w:tc>
      </w:tr>
      <w:tr w:rsidR="004E0809" w:rsidRPr="000164E1" w:rsidTr="004E0809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вапняк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20/7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8/3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30/12</w:t>
            </w:r>
          </w:p>
        </w:tc>
      </w:tr>
      <w:tr w:rsidR="004E0809" w:rsidRPr="000164E1" w:rsidTr="004E0809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крейда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8/3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8/3</w:t>
            </w:r>
          </w:p>
        </w:tc>
      </w:tr>
      <w:tr w:rsidR="004E0809" w:rsidRPr="000164E1" w:rsidTr="004E0809">
        <w:trPr>
          <w:trHeight w:val="102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циркон-рутил-ільменітові руди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30/10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30/10</w:t>
            </w:r>
          </w:p>
        </w:tc>
      </w:tr>
      <w:tr w:rsidR="004E0809" w:rsidRPr="000164E1" w:rsidTr="004E0809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бурштин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0/1</w:t>
            </w:r>
          </w:p>
        </w:tc>
      </w:tr>
      <w:tr w:rsidR="004E0809" w:rsidRPr="000164E1" w:rsidTr="004E0809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торф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5/6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5/6</w:t>
            </w:r>
          </w:p>
        </w:tc>
      </w:tr>
      <w:tr w:rsidR="004E0809" w:rsidRPr="000164E1" w:rsidTr="004E0809">
        <w:trPr>
          <w:trHeight w:val="51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нафта, газ, конденсат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40/ 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63/17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95/27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85/21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198/60</w:t>
            </w:r>
          </w:p>
        </w:tc>
      </w:tr>
      <w:tr w:rsidR="004E0809" w:rsidRPr="000164E1" w:rsidTr="004E0809">
        <w:trPr>
          <w:trHeight w:val="51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води підземні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30/10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12/3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27/4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60/19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42/9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139/37</w:t>
            </w:r>
          </w:p>
        </w:tc>
      </w:tr>
      <w:tr w:rsidR="004E0809" w:rsidRPr="000164E1" w:rsidTr="004E0809">
        <w:trPr>
          <w:trHeight w:val="153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грунт</w:t>
            </w:r>
            <w:proofErr w:type="spellEnd"/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світло-жовтого кольору (</w:t>
            </w:r>
            <w:proofErr w:type="spellStart"/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кор</w:t>
            </w:r>
            <w:proofErr w:type="spellEnd"/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 коп. не встановлено)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1/0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1/0</w:t>
            </w:r>
          </w:p>
        </w:tc>
      </w:tr>
      <w:tr w:rsidR="004E0809" w:rsidRPr="000164E1" w:rsidTr="004E0809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вугілля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20/10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36/14</w:t>
            </w:r>
          </w:p>
        </w:tc>
      </w:tr>
      <w:tr w:rsidR="004E0809" w:rsidRPr="000164E1" w:rsidTr="004E0809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залізо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57/25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57/25</w:t>
            </w:r>
          </w:p>
        </w:tc>
      </w:tr>
      <w:tr w:rsidR="004E0809" w:rsidRPr="000164E1" w:rsidTr="004E0809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золото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-/-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2/1</w:t>
            </w:r>
          </w:p>
        </w:tc>
      </w:tr>
      <w:tr w:rsidR="004E0809" w:rsidRPr="000164E1" w:rsidTr="004E0809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бішофіт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5/1</w:t>
            </w:r>
          </w:p>
        </w:tc>
      </w:tr>
      <w:tr w:rsidR="004E0809" w:rsidRPr="000164E1" w:rsidTr="004E0809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ільменіт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2/1</w:t>
            </w:r>
          </w:p>
        </w:tc>
      </w:tr>
      <w:tr w:rsidR="004E0809" w:rsidRPr="000164E1" w:rsidTr="004E0809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титан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12/5</w:t>
            </w:r>
          </w:p>
        </w:tc>
      </w:tr>
      <w:tr w:rsidR="004E0809" w:rsidRPr="000164E1" w:rsidTr="004E0809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апатит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2/1</w:t>
            </w:r>
          </w:p>
        </w:tc>
      </w:tr>
      <w:tr w:rsidR="004E0809" w:rsidRPr="000164E1" w:rsidTr="004E0809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андезит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</w:tr>
      <w:tr w:rsidR="004E0809" w:rsidRPr="000164E1" w:rsidTr="004E0809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цеоліт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</w:tr>
      <w:tr w:rsidR="004E0809" w:rsidRPr="000164E1" w:rsidTr="004E0809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марганець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4/4</w:t>
            </w:r>
          </w:p>
        </w:tc>
      </w:tr>
      <w:tr w:rsidR="004E0809" w:rsidRPr="000164E1" w:rsidTr="004E0809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7/4</w:t>
            </w:r>
          </w:p>
        </w:tc>
      </w:tr>
      <w:tr w:rsidR="004E0809" w:rsidRPr="000164E1" w:rsidTr="004E0809">
        <w:trPr>
          <w:trHeight w:val="51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сировина цементна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7/1</w:t>
            </w:r>
          </w:p>
        </w:tc>
      </w:tr>
      <w:tr w:rsidR="004E0809" w:rsidRPr="000164E1" w:rsidTr="004E0809">
        <w:trPr>
          <w:trHeight w:val="51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підземні споруди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1/1</w:t>
            </w:r>
          </w:p>
        </w:tc>
      </w:tr>
      <w:tr w:rsidR="004E0809" w:rsidRPr="000164E1" w:rsidTr="004E0809">
        <w:trPr>
          <w:trHeight w:val="102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грязі лікувальні мулові, ропа лікувальна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2/1</w:t>
            </w:r>
          </w:p>
        </w:tc>
      </w:tr>
      <w:tr w:rsidR="004E0809" w:rsidRPr="000164E1" w:rsidTr="004E0809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Всього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449/177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171/54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214/86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161/42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127/48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187/56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1309/463</w:t>
            </w:r>
          </w:p>
        </w:tc>
      </w:tr>
      <w:tr w:rsidR="004E0809" w:rsidRPr="000164E1" w:rsidTr="004E0809">
        <w:trPr>
          <w:trHeight w:val="300"/>
          <w:jc w:val="center"/>
        </w:trPr>
        <w:tc>
          <w:tcPr>
            <w:tcW w:w="146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Геологічне вивчення та геологічне вивчення з ДПР</w:t>
            </w:r>
          </w:p>
        </w:tc>
      </w:tr>
      <w:tr w:rsidR="004E0809" w:rsidRPr="000164E1" w:rsidTr="004E0809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</w:t>
            </w:r>
          </w:p>
        </w:tc>
      </w:tr>
      <w:tr w:rsidR="004E0809" w:rsidRPr="000164E1" w:rsidTr="004E0809">
        <w:trPr>
          <w:trHeight w:val="51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граніти, гнейси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9/2</w:t>
            </w:r>
          </w:p>
        </w:tc>
      </w:tr>
      <w:tr w:rsidR="004E0809" w:rsidRPr="000164E1" w:rsidTr="004E0809">
        <w:trPr>
          <w:trHeight w:val="51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габро, анортозити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1/2</w:t>
            </w:r>
          </w:p>
        </w:tc>
      </w:tr>
      <w:tr w:rsidR="004E0809" w:rsidRPr="000164E1" w:rsidTr="004E0809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лабрадорит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7/5</w:t>
            </w:r>
          </w:p>
        </w:tc>
      </w:tr>
      <w:tr w:rsidR="004E0809" w:rsidRPr="000164E1" w:rsidTr="004E0809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пісок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0/0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4/3</w:t>
            </w:r>
          </w:p>
        </w:tc>
      </w:tr>
      <w:tr w:rsidR="004E0809" w:rsidRPr="000164E1" w:rsidTr="004E0809">
        <w:trPr>
          <w:trHeight w:val="51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піщано-</w:t>
            </w:r>
            <w:proofErr w:type="spellStart"/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грав.суміш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19/5</w:t>
            </w:r>
          </w:p>
        </w:tc>
      </w:tr>
      <w:tr w:rsidR="004E0809" w:rsidRPr="000164E1" w:rsidTr="004E0809">
        <w:trPr>
          <w:trHeight w:val="51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суглинки, глини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5/3</w:t>
            </w:r>
          </w:p>
        </w:tc>
      </w:tr>
      <w:tr w:rsidR="004E0809" w:rsidRPr="000164E1" w:rsidTr="004E0809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каолін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0/0</w:t>
            </w:r>
          </w:p>
        </w:tc>
      </w:tr>
      <w:tr w:rsidR="004E0809" w:rsidRPr="000164E1" w:rsidTr="004E0809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вапняк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3/2</w:t>
            </w:r>
          </w:p>
        </w:tc>
      </w:tr>
      <w:tr w:rsidR="004E0809" w:rsidRPr="000164E1" w:rsidTr="004E0809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бурштин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13/4</w:t>
            </w:r>
          </w:p>
        </w:tc>
      </w:tr>
      <w:tr w:rsidR="004E0809" w:rsidRPr="000164E1" w:rsidTr="004E0809">
        <w:trPr>
          <w:trHeight w:val="76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кварц, берил, топаз, фенакіт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3/1</w:t>
            </w:r>
          </w:p>
        </w:tc>
      </w:tr>
      <w:tr w:rsidR="004E0809" w:rsidRPr="000164E1" w:rsidTr="004E0809">
        <w:trPr>
          <w:trHeight w:val="51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руди мідні самородні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11/1</w:t>
            </w:r>
          </w:p>
        </w:tc>
      </w:tr>
      <w:tr w:rsidR="004E0809" w:rsidRPr="000164E1" w:rsidTr="004E0809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торф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22/4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22/4</w:t>
            </w:r>
          </w:p>
        </w:tc>
      </w:tr>
      <w:tr w:rsidR="004E0809" w:rsidRPr="000164E1" w:rsidTr="004E0809">
        <w:trPr>
          <w:trHeight w:val="51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горючі сланці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0/1</w:t>
            </w:r>
          </w:p>
        </w:tc>
      </w:tr>
      <w:tr w:rsidR="004E0809" w:rsidRPr="000164E1" w:rsidTr="004E0809">
        <w:trPr>
          <w:trHeight w:val="51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нафта, газ, конденсат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39/ 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52/17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35/18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112/28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239/80</w:t>
            </w:r>
          </w:p>
        </w:tc>
      </w:tr>
      <w:tr w:rsidR="004E0809" w:rsidRPr="000164E1" w:rsidTr="004E0809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вугілля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0/1</w:t>
            </w:r>
          </w:p>
        </w:tc>
      </w:tr>
      <w:tr w:rsidR="004E0809" w:rsidRPr="000164E1" w:rsidTr="004E0809">
        <w:trPr>
          <w:trHeight w:val="51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води підземні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53/13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39/6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28/13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47/10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182/48</w:t>
            </w:r>
          </w:p>
        </w:tc>
      </w:tr>
      <w:tr w:rsidR="004E0809" w:rsidRPr="000164E1" w:rsidTr="004E0809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титан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1/1</w:t>
            </w:r>
          </w:p>
        </w:tc>
      </w:tr>
      <w:tr w:rsidR="004E0809" w:rsidRPr="000164E1" w:rsidTr="004E0809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хром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5/1</w:t>
            </w:r>
          </w:p>
        </w:tc>
      </w:tr>
      <w:tr w:rsidR="004E0809" w:rsidRPr="000164E1" w:rsidTr="004E0809">
        <w:trPr>
          <w:trHeight w:val="76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 xml:space="preserve">руди </w:t>
            </w:r>
            <w:proofErr w:type="spellStart"/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полімермета-ловмісні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0/1</w:t>
            </w:r>
          </w:p>
        </w:tc>
      </w:tr>
      <w:tr w:rsidR="004E0809" w:rsidRPr="000164E1" w:rsidTr="004E0809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залізо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1/1</w:t>
            </w:r>
          </w:p>
        </w:tc>
      </w:tr>
      <w:tr w:rsidR="004E0809" w:rsidRPr="000164E1" w:rsidTr="004E0809">
        <w:trPr>
          <w:trHeight w:val="102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термальні мінеральні підземні води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1/1</w:t>
            </w:r>
          </w:p>
        </w:tc>
      </w:tr>
      <w:tr w:rsidR="004E0809" w:rsidRPr="000164E1" w:rsidTr="004E0809">
        <w:trPr>
          <w:trHeight w:val="76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закачування техногенних стоків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0/0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0/0</w:t>
            </w:r>
          </w:p>
        </w:tc>
      </w:tr>
      <w:tr w:rsidR="004E0809" w:rsidRPr="000164E1" w:rsidTr="004E0809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Всього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119/43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58/20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62/17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75/25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54/23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159/40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527/168</w:t>
            </w:r>
          </w:p>
        </w:tc>
      </w:tr>
      <w:tr w:rsidR="004E0809" w:rsidRPr="000164E1" w:rsidTr="004E0809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Разом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568/220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229/74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276/103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236/67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181/71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346/96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09" w:rsidRPr="000164E1" w:rsidRDefault="004E0809" w:rsidP="004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64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1836/631</w:t>
            </w:r>
          </w:p>
        </w:tc>
      </w:tr>
    </w:tbl>
    <w:p w:rsidR="004E0809" w:rsidRPr="004E0809" w:rsidRDefault="004E0809" w:rsidP="000E37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F3C" w:rsidRPr="00151CF3" w:rsidRDefault="006C7F3C" w:rsidP="006C7F3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CF3">
        <w:rPr>
          <w:rFonts w:ascii="Times New Roman" w:hAnsi="Times New Roman" w:cs="Times New Roman"/>
          <w:sz w:val="26"/>
          <w:szCs w:val="26"/>
        </w:rPr>
        <w:t xml:space="preserve">За звітний період </w:t>
      </w:r>
      <w:proofErr w:type="spellStart"/>
      <w:r w:rsidRPr="00151CF3">
        <w:rPr>
          <w:rFonts w:ascii="Times New Roman" w:hAnsi="Times New Roman" w:cs="Times New Roman"/>
          <w:sz w:val="26"/>
          <w:szCs w:val="26"/>
        </w:rPr>
        <w:t>Держгеонадрами</w:t>
      </w:r>
      <w:proofErr w:type="spellEnd"/>
      <w:r w:rsidRPr="00151CF3">
        <w:rPr>
          <w:rFonts w:ascii="Times New Roman" w:hAnsi="Times New Roman" w:cs="Times New Roman"/>
          <w:sz w:val="26"/>
          <w:szCs w:val="26"/>
        </w:rPr>
        <w:t xml:space="preserve"> України анульовано 75 спеціальних дозволів на користування надрами (далі – дозвіл), в тому числі за рішенням судових органів – 44 дозволи, зупинено дію 608 дозволів, поновлено дію 36 дозволів.</w:t>
      </w:r>
    </w:p>
    <w:p w:rsidR="004E0809" w:rsidRPr="00151CF3" w:rsidRDefault="004E0809" w:rsidP="000E372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03AC" w:rsidRPr="00151CF3" w:rsidRDefault="00D603AC" w:rsidP="000E372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CF3">
        <w:rPr>
          <w:rFonts w:ascii="Times New Roman" w:hAnsi="Times New Roman" w:cs="Times New Roman"/>
          <w:sz w:val="26"/>
          <w:szCs w:val="26"/>
        </w:rPr>
        <w:t xml:space="preserve">У звітному періоді Департаментом державного геологічного контролю опрацьовано 14 законопроектів та 3 </w:t>
      </w:r>
      <w:proofErr w:type="spellStart"/>
      <w:r w:rsidRPr="00151CF3">
        <w:rPr>
          <w:rFonts w:ascii="Times New Roman" w:hAnsi="Times New Roman" w:cs="Times New Roman"/>
          <w:sz w:val="26"/>
          <w:szCs w:val="26"/>
        </w:rPr>
        <w:t>проект</w:t>
      </w:r>
      <w:r w:rsidR="00DE50A9" w:rsidRPr="00151CF3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151CF3">
        <w:rPr>
          <w:rFonts w:ascii="Times New Roman" w:hAnsi="Times New Roman" w:cs="Times New Roman"/>
          <w:sz w:val="26"/>
          <w:szCs w:val="26"/>
        </w:rPr>
        <w:t xml:space="preserve"> нормативно-правових актів, розроблено 7 підзаконних нормативно-правових актів</w:t>
      </w:r>
      <w:r w:rsidR="008F628D" w:rsidRPr="00151CF3">
        <w:rPr>
          <w:rFonts w:ascii="Times New Roman" w:hAnsi="Times New Roman" w:cs="Times New Roman"/>
          <w:sz w:val="26"/>
          <w:szCs w:val="26"/>
        </w:rPr>
        <w:t xml:space="preserve"> у сфері здійснення контролю за геологічним вивченням та використанням </w:t>
      </w:r>
      <w:r w:rsidR="008F628D" w:rsidRPr="00151CF3">
        <w:rPr>
          <w:rFonts w:ascii="Times New Roman" w:hAnsi="Times New Roman" w:cs="Times New Roman"/>
          <w:sz w:val="26"/>
          <w:szCs w:val="26"/>
        </w:rPr>
        <w:t>надр</w:t>
      </w:r>
      <w:r w:rsidRPr="00151CF3">
        <w:rPr>
          <w:rFonts w:ascii="Times New Roman" w:hAnsi="Times New Roman" w:cs="Times New Roman"/>
          <w:sz w:val="26"/>
          <w:szCs w:val="26"/>
        </w:rPr>
        <w:t>.</w:t>
      </w:r>
    </w:p>
    <w:p w:rsidR="00D603AC" w:rsidRPr="00151CF3" w:rsidRDefault="00D603AC" w:rsidP="000E372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1CF3" w:rsidRPr="00151CF3" w:rsidRDefault="00151CF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151CF3" w:rsidRPr="00151CF3" w:rsidSect="00DE7B2F">
      <w:pgSz w:w="16838" w:h="11906" w:orient="landscape"/>
      <w:pgMar w:top="1135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Ukrainian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444"/>
    <w:rsid w:val="000164E1"/>
    <w:rsid w:val="000D27FD"/>
    <w:rsid w:val="000E372E"/>
    <w:rsid w:val="0011091B"/>
    <w:rsid w:val="00151CF3"/>
    <w:rsid w:val="001E23AA"/>
    <w:rsid w:val="002E4CFA"/>
    <w:rsid w:val="004D3C03"/>
    <w:rsid w:val="004E0809"/>
    <w:rsid w:val="00697A23"/>
    <w:rsid w:val="006C7F3C"/>
    <w:rsid w:val="00767EA2"/>
    <w:rsid w:val="007B22D7"/>
    <w:rsid w:val="00806C7B"/>
    <w:rsid w:val="00857124"/>
    <w:rsid w:val="008F628D"/>
    <w:rsid w:val="00937D03"/>
    <w:rsid w:val="0097097A"/>
    <w:rsid w:val="00A023B8"/>
    <w:rsid w:val="00A57513"/>
    <w:rsid w:val="00B60444"/>
    <w:rsid w:val="00CB6A71"/>
    <w:rsid w:val="00D603AC"/>
    <w:rsid w:val="00D9015D"/>
    <w:rsid w:val="00DB0779"/>
    <w:rsid w:val="00DC34CD"/>
    <w:rsid w:val="00DC3B2C"/>
    <w:rsid w:val="00DE50A9"/>
    <w:rsid w:val="00DE7B2F"/>
    <w:rsid w:val="00E745CB"/>
    <w:rsid w:val="00F8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F87E1-8E37-44C6-9F7D-8E391D16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D03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rsid w:val="00DB0779"/>
    <w:pPr>
      <w:spacing w:after="0" w:line="240" w:lineRule="auto"/>
      <w:ind w:firstLine="3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B0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harCharCharChar">
    <w:name w:val="Знак Знак1 Знак Знак Знак Знак Знак Знак Знак Знак Знак Знак Знак Знак Char Char Знак Знак Char Char"/>
    <w:basedOn w:val="a"/>
    <w:rsid w:val="00DB077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1 Знак"/>
    <w:basedOn w:val="a"/>
    <w:rsid w:val="00DB077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Обычный1"/>
    <w:rsid w:val="00DB0779"/>
    <w:pPr>
      <w:spacing w:after="0" w:line="240" w:lineRule="auto"/>
    </w:pPr>
    <w:rPr>
      <w:rFonts w:ascii="UkrainianBaltica" w:eastAsia="Times New Roman" w:hAnsi="UkrainianBaltica" w:cs="Times New Roman"/>
      <w:sz w:val="24"/>
      <w:szCs w:val="20"/>
      <w:lang w:eastAsia="ru-RU"/>
    </w:rPr>
  </w:style>
  <w:style w:type="character" w:customStyle="1" w:styleId="4">
    <w:name w:val="Основний текст (4) + Не курсив"/>
    <w:rsid w:val="007B22D7"/>
    <w:rPr>
      <w:rFonts w:ascii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1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CDF54-E1E3-49FE-B137-5E6B77E5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8522</Words>
  <Characters>4858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Pavlenko</dc:creator>
  <cp:keywords/>
  <dc:description/>
  <cp:lastModifiedBy>M Lavrinok</cp:lastModifiedBy>
  <cp:revision>24</cp:revision>
  <cp:lastPrinted>2016-04-01T07:06:00Z</cp:lastPrinted>
  <dcterms:created xsi:type="dcterms:W3CDTF">2016-04-01T06:40:00Z</dcterms:created>
  <dcterms:modified xsi:type="dcterms:W3CDTF">2016-04-01T08:42:00Z</dcterms:modified>
</cp:coreProperties>
</file>