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АНАЛІЗ РЕГУЛЯТОРНОГО ВПЛИВУ</w:t>
      </w:r>
    </w:p>
    <w:p w:rsidR="00A72726" w:rsidRDefault="008C7793" w:rsidP="00A72726">
      <w:pPr>
        <w:widowControl w:val="0"/>
        <w:tabs>
          <w:tab w:val="left" w:pos="990"/>
        </w:tabs>
        <w:spacing w:after="0" w:line="240" w:lineRule="auto"/>
        <w:ind w:firstLine="7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bookmarkStart w:id="0" w:name="_Hlk23427000"/>
      <w:r w:rsidRPr="008C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проекту </w:t>
      </w:r>
      <w:bookmarkStart w:id="1" w:name="_Hlk14958914"/>
      <w:bookmarkEnd w:id="0"/>
      <w:r w:rsidR="00A72726"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 Кабінету Міністрів України</w:t>
      </w:r>
    </w:p>
    <w:p w:rsidR="008A1C38" w:rsidRDefault="00A72726" w:rsidP="00A72726">
      <w:pPr>
        <w:widowControl w:val="0"/>
        <w:tabs>
          <w:tab w:val="left" w:pos="990"/>
        </w:tabs>
        <w:spacing w:after="0" w:line="240" w:lineRule="auto"/>
        <w:ind w:firstLine="7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 </w:t>
      </w:r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затвердження Порядку </w:t>
      </w:r>
      <w:proofErr w:type="spellStart"/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проведення</w:t>
      </w:r>
      <w:proofErr w:type="spellEnd"/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аукціонів з продажу спеціальних дозволів на користування на</w:t>
      </w:r>
      <w:r w:rsidR="000E43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драми шляхом </w:t>
      </w:r>
      <w:proofErr w:type="spellStart"/>
      <w:r w:rsidR="000E43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електронних</w:t>
      </w:r>
      <w:proofErr w:type="spellEnd"/>
      <w:r w:rsidR="000E43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0E43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торгів</w:t>
      </w:r>
      <w:proofErr w:type="spellEnd"/>
      <w:r w:rsidR="000E43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внесення змін </w:t>
      </w:r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та </w:t>
      </w:r>
      <w:proofErr w:type="spellStart"/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визнання</w:t>
      </w:r>
      <w:proofErr w:type="spellEnd"/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такими, що </w:t>
      </w:r>
      <w:proofErr w:type="spellStart"/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втратили</w:t>
      </w:r>
      <w:proofErr w:type="spellEnd"/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чинність</w:t>
      </w:r>
      <w:proofErr w:type="spellEnd"/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,</w:t>
      </w:r>
      <w:r w:rsidRPr="00A72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деяких постанов Кабінету Міністрів України»</w:t>
      </w:r>
    </w:p>
    <w:p w:rsidR="00A72726" w:rsidRPr="008C7793" w:rsidRDefault="00A72726" w:rsidP="00A72726">
      <w:pPr>
        <w:widowControl w:val="0"/>
        <w:tabs>
          <w:tab w:val="left" w:pos="990"/>
        </w:tabs>
        <w:spacing w:after="0" w:line="240" w:lineRule="auto"/>
        <w:ind w:firstLine="7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Визначення проблеми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 України «Про внесення змін до деяких законодавчих актів України щодо вдосконалення законодавства про видобуток бурштину та інших корисних копалин» № 402-ІХ від 19.12.2019 року внесено зміни зокрема до статті 16 Кодексу України про надра.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Відповідно до статті 16 Кодексу України про надра, аукціони щодо продажу спеціальних дозволів на користування надрами проводяться шляхом електронних торгів, що здійснюються за допомогою апаратно-програмного комплексу, що функціонує в Інтернеті та забезпечує заявникам, учасникам і організатору аукціону та центральному органу виконавчої влади, що реалізує державну політику у сфері геологічного вивчення та раціонального використання надр, та/або Раді міністрів Автономної Республіки Крим можливість користуватися сервісами такої системи з автоматичним обміном інформацією про процедури проведення аукціону.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Постановою Кабінету Міністрів України від 17 жовтня 2018 р. № 848 «Про реалізацію експериментального проекту із запровадження проведення аукціонів з продажу спеціальних дозволів на користування надрами шляхом електронних торгів» встановлено, що проведення аукціонів з продажу спеціальних дозволів на користування надрами здійснюється з 24 жовтня 2018 р.</w:t>
      </w:r>
      <w:r w:rsidR="00FF4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FF4A35" w:rsidRPr="00185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жовтня 2020 року</w:t>
      </w: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виключно відповідно до Тимчасового порядку, затвердженого цією постановою. 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метою більш ефективного використання надр необхідно сприяти залученню іноземних інвестицій та впровадженню сучасних технологій в українське видобування та з метою забезпечення продовження продажу спеціальних дозволів на користування надрами на аукціоні шляхом електронних торгів.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>В рамках проекту у 2019 році було проведено 8 аукціонів з продажу спеціальних дозволів на користування надрами шляхом електронних торгів.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>Підводячи підсумок стосовно проведення аукціонів з продажу спеціальних дозволів на користування надрами шляхом електронних торгів за 2019 рік:</w:t>
      </w:r>
    </w:p>
    <w:p w:rsidR="0072417F" w:rsidRPr="0072417F" w:rsidRDefault="0072417F" w:rsidP="0072417F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>підготовлено та виставлено на продаж 52 ділянки надр, з яких 34 ділянки - вуглеводні;</w:t>
      </w:r>
    </w:p>
    <w:p w:rsidR="0072417F" w:rsidRPr="0072417F" w:rsidRDefault="0072417F" w:rsidP="0072417F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>продано 35 ділянок надр, з яких 19 - нафтові, 16 інші корисні копалини;</w:t>
      </w:r>
    </w:p>
    <w:p w:rsidR="0072417F" w:rsidRPr="0072417F" w:rsidRDefault="0072417F" w:rsidP="0072417F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>видано 33 спеціальних дозволи (+ 1 дозвіл видано 21.02.2020 року).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 xml:space="preserve">Загалом, за 2019 рік, загальна сума яка надійшла до Державного бюджету України від організації та проведення вищезазначених електронних аукціонів з продажу спеціальних дозволів на користування надрами, становить                </w:t>
      </w:r>
      <w:r w:rsidR="00FA5493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 xml:space="preserve">         </w:t>
      </w: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 xml:space="preserve"> 503 902 678,00 грн.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lastRenderedPageBreak/>
        <w:t>Вищезазначена інформація, дає підстави стверджувати, що на даний час результати експериментального проекту є позитивними, про що свідчать кількість успішних аукціонів, кількість та залученість учасників, висока конкурентність лотів.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 w:bidi="uk-UA"/>
        </w:rPr>
        <w:t>У 2020 році, в рамках виконання Тимчасового порядку 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торгів, затвердженого постановою Кабінету Міністрів України від 17.10.2018 року     № 848, підготовлено та виставлено 12 ділянок надр номінованих суб’єктами господарювання у 2019 році для продажу в системі «Прозорро.Продажі».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Також потребує врегулювання наступне питання: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Порядку № 615 було виключено підпункт 8 пункту 8, згідно з яким надрокористувачі отримують право користування надрами без аукціону, якщо відповідно до законодавства вони є власниками цілісного майнового комплексу, побудованого (реконструйованого) з метою видобування та переробки корисних копалин з ділянки надр, на користування якою надається дозвіл, або такий майновий комплекс надано надрокористувачам в оренду (концесію) (далі – ЦМК).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Слід зазначити, що виключення може призвести до негативних наслідків для деяких підприємств, які є власник</w:t>
      </w:r>
      <w:r w:rsidR="006A0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чи орендарями ЦМК.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Тому наслідком виключення цього пункту може стати непорозуміння між державою та підприємствами видобувної галузі, які формують частку економічного потенціалу України.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Значна кількість підприємств-надрокористувачів, та громадських організацій одностайно заперечували на виключенні підпункту 8 пункту 8 Порядку, оскільки надрокористувачі змушені будуть змагатись на аукціоні за отримання користування надрами на тій території, де вже фактично функціонують ЦМК, тобто, створено інфраструктуру, робочі місця та витрачено інвестиції.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Отже, на сьогодні відчутний потужний запит бізнесу на існування запропонованих підстав для отримання спецдозволів.</w:t>
      </w:r>
    </w:p>
    <w:p w:rsid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Необхідно забезпечити максимально прозору та відкриту процедуру отримання спеціального дозволу на користування надрами.</w:t>
      </w:r>
    </w:p>
    <w:p w:rsidR="0072417F" w:rsidRP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 постанови Кабінету Міністрів України «Про затвердження Порядку проведення аукціонів з продажу спеціальних дозволів на користування надрами шляхом електронних торгів, внесення змін та визнання такими, що втратили чинність, деяких постанов Кабінету Міністрів України» (далі-проєкт) розроблено на виконання вимог статті 16 Кодексу України про надра з метою удосконалення нормативно-правової бази для покращення інвестиційного клімату у сфері надрокористування, запровадження інноваційних методів для державного управління у сфері геологічного вивчення та раціонального використання надр, прозорого механізму продажу на аукціонах спеціальних дозволів на користування надрами.</w:t>
      </w:r>
    </w:p>
    <w:p w:rsidR="0072417F" w:rsidRDefault="0072417F" w:rsidP="0072417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Також, розроблення проєкту акта обумовлене наявністю проблемних питань» в ході практичної реалізації Порядку надання спеціальних дозволів на </w:t>
      </w:r>
      <w:r w:rsidRPr="00724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користування надрами, затвердженого постановою Кабінету Міністрів України від 30.05.2011 № 615 (далі — Порядок № 615), враховуючи останні зміни, внесені до нього.</w:t>
      </w:r>
    </w:p>
    <w:p w:rsidR="0058780F" w:rsidRPr="0058780F" w:rsidRDefault="0058780F" w:rsidP="0058780F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spacing w:val="2"/>
          <w:sz w:val="28"/>
          <w:szCs w:val="28"/>
          <w:lang w:val="ru-RU" w:eastAsia="ja-JP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r w:rsidRPr="008C7793">
        <w:rPr>
          <w:rFonts w:ascii="Times New Roman" w:eastAsia="MS Mincho" w:hAnsi="Times New Roman" w:cs="Times New Roman"/>
          <w:spacing w:val="2"/>
          <w:sz w:val="28"/>
          <w:szCs w:val="28"/>
          <w:lang w:val="ru-RU" w:eastAsia="ja-JP"/>
        </w:rPr>
        <w:t xml:space="preserve"> </w:t>
      </w:r>
      <w:proofErr w:type="spellStart"/>
      <w:r w:rsidRPr="008C7793">
        <w:rPr>
          <w:rFonts w:ascii="Times New Roman" w:eastAsia="MS Mincho" w:hAnsi="Times New Roman" w:cs="Times New Roman"/>
          <w:spacing w:val="2"/>
          <w:sz w:val="28"/>
          <w:szCs w:val="28"/>
          <w:lang w:val="ru-RU" w:eastAsia="ja-JP"/>
        </w:rPr>
        <w:t>групи</w:t>
      </w:r>
      <w:proofErr w:type="spellEnd"/>
      <w:r w:rsidRPr="008C7793">
        <w:rPr>
          <w:rFonts w:ascii="Times New Roman" w:eastAsia="MS Mincho" w:hAnsi="Times New Roman" w:cs="Times New Roman"/>
          <w:spacing w:val="2"/>
          <w:sz w:val="28"/>
          <w:szCs w:val="28"/>
          <w:lang w:val="ru-RU" w:eastAsia="ja-JP"/>
        </w:rPr>
        <w:t xml:space="preserve"> на </w:t>
      </w:r>
      <w:proofErr w:type="spellStart"/>
      <w:r w:rsidRPr="008C7793">
        <w:rPr>
          <w:rFonts w:ascii="Times New Roman" w:eastAsia="MS Mincho" w:hAnsi="Times New Roman" w:cs="Times New Roman"/>
          <w:spacing w:val="2"/>
          <w:sz w:val="28"/>
          <w:szCs w:val="28"/>
          <w:lang w:val="ru-RU" w:eastAsia="ja-JP"/>
        </w:rPr>
        <w:t>які</w:t>
      </w:r>
      <w:proofErr w:type="spellEnd"/>
      <w:r w:rsidRPr="008C7793">
        <w:rPr>
          <w:rFonts w:ascii="Times New Roman" w:eastAsia="MS Mincho" w:hAnsi="Times New Roman" w:cs="Times New Roman"/>
          <w:spacing w:val="2"/>
          <w:sz w:val="28"/>
          <w:szCs w:val="28"/>
          <w:lang w:val="ru-RU" w:eastAsia="ja-JP"/>
        </w:rPr>
        <w:t xml:space="preserve"> проблема </w:t>
      </w:r>
      <w:proofErr w:type="spellStart"/>
      <w:r w:rsidRPr="008C7793">
        <w:rPr>
          <w:rFonts w:ascii="Times New Roman" w:eastAsia="MS Mincho" w:hAnsi="Times New Roman" w:cs="Times New Roman"/>
          <w:spacing w:val="2"/>
          <w:sz w:val="28"/>
          <w:szCs w:val="28"/>
          <w:lang w:val="ru-RU" w:eastAsia="ja-JP"/>
        </w:rPr>
        <w:t>справляє</w:t>
      </w:r>
      <w:proofErr w:type="spellEnd"/>
      <w:r w:rsidRPr="008C7793">
        <w:rPr>
          <w:rFonts w:ascii="Times New Roman" w:eastAsia="MS Mincho" w:hAnsi="Times New Roman" w:cs="Times New Roman"/>
          <w:spacing w:val="2"/>
          <w:sz w:val="28"/>
          <w:szCs w:val="28"/>
          <w:lang w:val="ru-RU" w:eastAsia="ja-JP"/>
        </w:rPr>
        <w:t xml:space="preserve"> </w:t>
      </w:r>
      <w:proofErr w:type="spellStart"/>
      <w:r w:rsidRPr="008C7793">
        <w:rPr>
          <w:rFonts w:ascii="Times New Roman" w:eastAsia="MS Mincho" w:hAnsi="Times New Roman" w:cs="Times New Roman"/>
          <w:spacing w:val="2"/>
          <w:sz w:val="28"/>
          <w:szCs w:val="28"/>
          <w:lang w:val="ru-RU" w:eastAsia="ja-JP"/>
        </w:rPr>
        <w:t>вплив</w:t>
      </w:r>
      <w:proofErr w:type="spellEnd"/>
      <w:r w:rsidRPr="008C7793">
        <w:rPr>
          <w:rFonts w:ascii="Times New Roman" w:eastAsia="MS Mincho" w:hAnsi="Times New Roman" w:cs="Times New Roman"/>
          <w:spacing w:val="2"/>
          <w:sz w:val="28"/>
          <w:szCs w:val="28"/>
          <w:lang w:val="ru-RU" w:eastAsia="ja-JP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2552"/>
        <w:gridCol w:w="2750"/>
      </w:tblGrid>
      <w:tr w:rsidR="008C7793" w:rsidRPr="008C7793" w:rsidTr="00FC16FA">
        <w:tc>
          <w:tcPr>
            <w:tcW w:w="4317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Групи (підгрупи)</w:t>
            </w:r>
          </w:p>
        </w:tc>
        <w:tc>
          <w:tcPr>
            <w:tcW w:w="2605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Так</w:t>
            </w:r>
          </w:p>
        </w:tc>
        <w:tc>
          <w:tcPr>
            <w:tcW w:w="2824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Ні</w:t>
            </w:r>
          </w:p>
        </w:tc>
      </w:tr>
      <w:tr w:rsidR="008C7793" w:rsidRPr="008C7793" w:rsidTr="00FC16FA">
        <w:tc>
          <w:tcPr>
            <w:tcW w:w="4317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Громадяни</w:t>
            </w:r>
          </w:p>
        </w:tc>
        <w:tc>
          <w:tcPr>
            <w:tcW w:w="2605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-</w:t>
            </w:r>
          </w:p>
        </w:tc>
        <w:tc>
          <w:tcPr>
            <w:tcW w:w="2824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+</w:t>
            </w:r>
          </w:p>
        </w:tc>
      </w:tr>
      <w:tr w:rsidR="008C7793" w:rsidRPr="008C7793" w:rsidTr="00FC16FA">
        <w:tc>
          <w:tcPr>
            <w:tcW w:w="4317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Держава</w:t>
            </w:r>
          </w:p>
        </w:tc>
        <w:tc>
          <w:tcPr>
            <w:tcW w:w="2605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+</w:t>
            </w:r>
          </w:p>
        </w:tc>
        <w:tc>
          <w:tcPr>
            <w:tcW w:w="2824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  <w:lang w:eastAsia="ru-RU"/>
              </w:rPr>
              <w:t>-</w:t>
            </w:r>
          </w:p>
        </w:tc>
      </w:tr>
      <w:tr w:rsidR="008C7793" w:rsidRPr="008C7793" w:rsidTr="00FC16FA">
        <w:tc>
          <w:tcPr>
            <w:tcW w:w="4317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Суб’єкти господарювання (у тому числі суб’єкти малого підприємництва)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605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962" w:firstLine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+</w:t>
            </w:r>
          </w:p>
        </w:tc>
        <w:tc>
          <w:tcPr>
            <w:tcW w:w="2824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ind w:left="1050" w:firstLine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-</w:t>
            </w:r>
          </w:p>
        </w:tc>
      </w:tr>
    </w:tbl>
    <w:p w:rsidR="008C7793" w:rsidRPr="008C7793" w:rsidRDefault="008C7793" w:rsidP="001C2091">
      <w:pPr>
        <w:widowControl w:val="0"/>
        <w:tabs>
          <w:tab w:val="left" w:pos="990"/>
        </w:tabs>
        <w:spacing w:after="0" w:line="240" w:lineRule="auto"/>
        <w:ind w:left="270"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44C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Врегулювання зазначених проблемних питань не м</w:t>
      </w:r>
      <w:r w:rsidR="004A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 бути здійснено за допомогою </w:t>
      </w: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ринкових механізмів, оскільки </w:t>
      </w:r>
      <w:r w:rsidR="004A1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наведені</w:t>
      </w: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питання </w:t>
      </w:r>
      <w:r w:rsidR="004A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прерогативою державного </w:t>
      </w: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</w:t>
      </w:r>
      <w:r w:rsidR="004A1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вання.</w:t>
      </w: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793" w:rsidRPr="008C7793" w:rsidRDefault="004A144C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Діючими регуляторними актами у сфері надрокористування,</w:t>
      </w:r>
      <w:r w:rsidR="008C7793"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E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зазначені питання </w:t>
      </w:r>
      <w:r w:rsidR="008C7793" w:rsidRPr="008C77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врегульовані. 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978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79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ІІ. Цілі державного регулювання</w:t>
      </w:r>
    </w:p>
    <w:p w:rsidR="008C7793" w:rsidRPr="008C7793" w:rsidRDefault="008C7793" w:rsidP="001C2091">
      <w:pPr>
        <w:widowControl w:val="0"/>
        <w:tabs>
          <w:tab w:val="left" w:pos="770"/>
          <w:tab w:val="left" w:pos="990"/>
        </w:tabs>
        <w:spacing w:after="120" w:line="240" w:lineRule="auto"/>
        <w:ind w:firstLine="77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C779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Основними цілями державного регулювання є: </w:t>
      </w:r>
    </w:p>
    <w:p w:rsidR="008C7793" w:rsidRPr="008C7793" w:rsidRDefault="008C7793" w:rsidP="001C2091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793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8C7793">
        <w:rPr>
          <w:rFonts w:ascii="Times New Roman" w:eastAsia="Calibri" w:hAnsi="Times New Roman" w:cs="Times New Roman"/>
          <w:color w:val="000000"/>
          <w:sz w:val="28"/>
          <w:szCs w:val="28"/>
        </w:rPr>
        <w:t>забезпечення прав та інтересів суб’єктів господарювання у сфері надрокористування;</w:t>
      </w:r>
    </w:p>
    <w:p w:rsidR="007870F9" w:rsidRDefault="008C7793" w:rsidP="007B5267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79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забезпечення ефективн</w:t>
      </w:r>
      <w:r w:rsidR="00A64E07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bookmarkStart w:id="2" w:name="_GoBack"/>
      <w:bookmarkEnd w:id="2"/>
      <w:r w:rsidR="00D1256E">
        <w:rPr>
          <w:rFonts w:ascii="Times New Roman" w:eastAsia="Calibri" w:hAnsi="Times New Roman" w:cs="Times New Roman"/>
          <w:color w:val="000000"/>
          <w:sz w:val="28"/>
          <w:szCs w:val="28"/>
        </w:rPr>
        <w:t>ї</w:t>
      </w:r>
      <w:r w:rsidRPr="008C77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прозорої процедури надання спеціальних дозволів на користування надрами;</w:t>
      </w:r>
    </w:p>
    <w:p w:rsidR="007870F9" w:rsidRPr="007B5267" w:rsidRDefault="007870F9" w:rsidP="007B5267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70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забезпечення продовження функціювання</w:t>
      </w:r>
      <w:r w:rsidRPr="00787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70F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проведення аукціонів з продажу спеціальних дозволів на користування надрами шляхом електронних торгів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7B5267" w:rsidRPr="007B5267" w:rsidRDefault="007B5267" w:rsidP="007B5267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526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збільшення інвестиційної привабливості сфери надрокористування;</w:t>
      </w:r>
    </w:p>
    <w:p w:rsidR="007B5267" w:rsidRPr="007B5267" w:rsidRDefault="007B5267" w:rsidP="007B5267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526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наближення законодавства України до </w:t>
      </w:r>
      <w:r w:rsidR="00A72726">
        <w:rPr>
          <w:rFonts w:ascii="Times New Roman" w:eastAsia="Calibri" w:hAnsi="Times New Roman" w:cs="Times New Roman"/>
          <w:color w:val="000000"/>
          <w:sz w:val="28"/>
          <w:szCs w:val="28"/>
        </w:rPr>
        <w:t>є</w:t>
      </w:r>
      <w:r w:rsidRPr="007B5267">
        <w:rPr>
          <w:rFonts w:ascii="Times New Roman" w:eastAsia="Calibri" w:hAnsi="Times New Roman" w:cs="Times New Roman"/>
          <w:color w:val="000000"/>
          <w:sz w:val="28"/>
          <w:szCs w:val="28"/>
        </w:rPr>
        <w:t>вропейського рівня;</w:t>
      </w:r>
    </w:p>
    <w:p w:rsidR="007B5267" w:rsidRPr="007B5267" w:rsidRDefault="007B5267" w:rsidP="007B5267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526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покращення розвитку ресурсного потенціалу держави;</w:t>
      </w:r>
    </w:p>
    <w:p w:rsidR="007B5267" w:rsidRPr="008C7793" w:rsidRDefault="007B5267" w:rsidP="001C2091">
      <w:pPr>
        <w:widowControl w:val="0"/>
        <w:tabs>
          <w:tab w:val="left" w:pos="770"/>
          <w:tab w:val="left" w:pos="99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5267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залучення іноземних інвестицій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у сферу надрокористування</w:t>
      </w:r>
      <w:r w:rsidRPr="007B526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C7793" w:rsidRPr="008C7793" w:rsidRDefault="008C7793" w:rsidP="001C2091">
      <w:pPr>
        <w:widowControl w:val="0"/>
        <w:tabs>
          <w:tab w:val="left" w:pos="770"/>
          <w:tab w:val="left" w:pos="99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 Визначення та оцінка альтернативних способів досягнення цілей</w:t>
      </w:r>
    </w:p>
    <w:p w:rsidR="008C7793" w:rsidRPr="008C7793" w:rsidRDefault="008C7793" w:rsidP="001C2091">
      <w:pPr>
        <w:widowControl w:val="0"/>
        <w:numPr>
          <w:ilvl w:val="0"/>
          <w:numId w:val="1"/>
        </w:numPr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альтернативних способів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5239"/>
      </w:tblGrid>
      <w:tr w:rsidR="008C7793" w:rsidRPr="008C7793" w:rsidTr="00FC16FA">
        <w:tc>
          <w:tcPr>
            <w:tcW w:w="4542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5904862"/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альтернативи</w:t>
            </w:r>
          </w:p>
        </w:tc>
        <w:tc>
          <w:tcPr>
            <w:tcW w:w="5239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 альтернативи</w:t>
            </w:r>
          </w:p>
        </w:tc>
      </w:tr>
      <w:tr w:rsidR="008C7793" w:rsidRPr="008C7793" w:rsidTr="00FC16FA">
        <w:trPr>
          <w:trHeight w:val="1982"/>
        </w:trPr>
        <w:tc>
          <w:tcPr>
            <w:tcW w:w="4542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8C7793" w:rsidRPr="008C7793" w:rsidRDefault="0024556B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Залишення чинного регулювання.</w:t>
            </w:r>
          </w:p>
        </w:tc>
        <w:tc>
          <w:tcPr>
            <w:tcW w:w="5239" w:type="dxa"/>
          </w:tcPr>
          <w:p w:rsidR="008C7793" w:rsidRPr="008C7793" w:rsidRDefault="0024556B" w:rsidP="00C86108">
            <w:pPr>
              <w:widowControl w:val="0"/>
              <w:tabs>
                <w:tab w:val="left" w:pos="990"/>
              </w:tabs>
              <w:spacing w:after="120" w:line="240" w:lineRule="auto"/>
              <w:ind w:left="28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24556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Збереження ситуації, яка існує на цей час, нажаль, не вирішує проблему зазначену у розділі І аналізу, а також не забезпечує досягнення цілей державного регулювання, спрямованих на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 </w:t>
            </w:r>
            <w:r w:rsidR="00C86108" w:rsidRPr="00C861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удосконаленн</w:t>
            </w:r>
            <w:r w:rsidR="00C861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я</w:t>
            </w:r>
            <w:r w:rsidR="00C86108" w:rsidRPr="00C861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нормативно-правової бази для покращення інвестиційного клімату у </w:t>
            </w:r>
            <w:r w:rsidR="00C86108" w:rsidRPr="00C861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сфері надрокористування, запровадження інноваційних методів для державного управління у сфері геологічного вивчення та раціонального використання надр, прозорого механізму продажу на аукціонах спеціальних д</w:t>
            </w:r>
            <w:r w:rsidR="00C861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озволів на користування надрами, та не сприятиме забезпеченню прав та законних інтересів </w:t>
            </w:r>
            <w:r w:rsidR="00C86108" w:rsidRPr="00C8610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підприємств видобувної галузі, які формують частку економічного потенціалу України</w:t>
            </w:r>
            <w:r w:rsidR="00C8610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.</w:t>
            </w:r>
          </w:p>
        </w:tc>
      </w:tr>
      <w:tr w:rsidR="008C7793" w:rsidRPr="008C7793" w:rsidTr="00FC16FA">
        <w:tc>
          <w:tcPr>
            <w:tcW w:w="4542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Альтернатива 2.</w:t>
            </w:r>
          </w:p>
          <w:p w:rsidR="000E4382" w:rsidRPr="000E4382" w:rsidRDefault="00A72726" w:rsidP="000E4382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Прийняття </w:t>
            </w:r>
            <w:r w:rsidRPr="00A72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постанови Кабінету Міністрів України </w:t>
            </w:r>
            <w:r w:rsidR="000E4382" w:rsidRPr="000E43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«Про затвердження Порядку проведення аукціонів з продажу спеціальних дозволів на користування надрами шляхом електронних торгів, внесення змін та визнання такими, що втратили чинність, деяких постанов Кабінету Міністрів України»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</w:tcPr>
          <w:p w:rsidR="001332FD" w:rsidRDefault="008C7793" w:rsidP="00C86108">
            <w:pPr>
              <w:widowControl w:val="0"/>
              <w:tabs>
                <w:tab w:val="left" w:pos="990"/>
              </w:tabs>
              <w:spacing w:after="0" w:line="240" w:lineRule="auto"/>
              <w:ind w:left="28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C77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Така альтернатива </w:t>
            </w:r>
            <w:proofErr w:type="spellStart"/>
            <w:r w:rsidR="001332FD" w:rsidRPr="001332FD"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  <w:t>забезпеч</w:t>
            </w:r>
            <w:r w:rsidR="001332F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ить</w:t>
            </w:r>
            <w:proofErr w:type="spellEnd"/>
            <w:r w:rsidR="001332FD" w:rsidRPr="001332FD"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  <w:t xml:space="preserve"> </w:t>
            </w:r>
            <w:proofErr w:type="spellStart"/>
            <w:r w:rsidR="001332FD" w:rsidRPr="001332FD"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  <w:t>функціювання</w:t>
            </w:r>
            <w:proofErr w:type="spellEnd"/>
            <w:r w:rsidR="001332FD" w:rsidRPr="001332FD"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  <w:t xml:space="preserve"> </w:t>
            </w:r>
            <w:proofErr w:type="spellStart"/>
            <w:r w:rsidR="001332FD" w:rsidRPr="001332FD"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  <w:t>електронних</w:t>
            </w:r>
            <w:proofErr w:type="spellEnd"/>
            <w:r w:rsidR="001332FD" w:rsidRPr="001332FD"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  <w:t xml:space="preserve"> </w:t>
            </w:r>
            <w:proofErr w:type="spellStart"/>
            <w:r w:rsidR="001332FD" w:rsidRPr="001332FD">
              <w:rPr>
                <w:rFonts w:ascii="Times New Roman" w:eastAsia="MS Mincho" w:hAnsi="Times New Roman" w:cs="Times New Roman"/>
                <w:sz w:val="28"/>
                <w:szCs w:val="28"/>
                <w:lang w:val="ru-RU" w:eastAsia="ja-JP"/>
              </w:rPr>
              <w:t>торгів</w:t>
            </w:r>
            <w:proofErr w:type="spellEnd"/>
            <w:r w:rsidR="001332FD" w:rsidRPr="001332F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на постійній основі.</w:t>
            </w:r>
          </w:p>
          <w:p w:rsidR="008C7793" w:rsidRPr="008C7793" w:rsidRDefault="008C7793" w:rsidP="000E106E">
            <w:pPr>
              <w:widowControl w:val="0"/>
              <w:tabs>
                <w:tab w:val="left" w:pos="990"/>
              </w:tabs>
              <w:spacing w:after="12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861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Дана альтернатива сприятиме досягненню цілей державного регулювання щодо: забезпечення прав та інтересів суб’єктів господарювання видобувної галузі, ефективного та прозорого регулювання з питань надання спеціальних дозволів на користування надрами, </w:t>
            </w:r>
            <w:r w:rsidR="00C8610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>забезпечить</w:t>
            </w:r>
            <w:r w:rsidR="00C86108" w:rsidRPr="00C86108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продовження функціювання проведення аукціонів з продажу спеціальних дозволів на користування надрами шляхом електронних торгів</w:t>
            </w:r>
            <w:r w:rsidR="00C861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, що в свою чергу сприятиме отриманню адміністративних послуг належної якості, </w:t>
            </w:r>
            <w:r w:rsidRPr="00C86108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а також </w:t>
            </w:r>
            <w:r w:rsidR="000E106E" w:rsidRPr="000E106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збільшенню інвестиційної привабливості сфери надрокористування; наближенню законодавства України до Європейського рівня</w:t>
            </w:r>
            <w:r w:rsidR="000E106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</w:tr>
      <w:bookmarkEnd w:id="3"/>
    </w:tbl>
    <w:p w:rsidR="000E4382" w:rsidRDefault="000E4382" w:rsidP="000E4382">
      <w:pPr>
        <w:widowControl w:val="0"/>
        <w:tabs>
          <w:tab w:val="left" w:pos="990"/>
        </w:tabs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793" w:rsidRPr="008C7793" w:rsidRDefault="008C7793" w:rsidP="001C2091">
      <w:pPr>
        <w:widowControl w:val="0"/>
        <w:numPr>
          <w:ilvl w:val="0"/>
          <w:numId w:val="1"/>
        </w:numPr>
        <w:tabs>
          <w:tab w:val="left" w:pos="990"/>
        </w:tabs>
        <w:spacing w:after="12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 вибраних альтернативних способів досягнення цілей</w:t>
      </w:r>
    </w:p>
    <w:p w:rsidR="008C7793" w:rsidRPr="008C7793" w:rsidRDefault="008C7793" w:rsidP="000E4382">
      <w:pPr>
        <w:widowControl w:val="0"/>
        <w:tabs>
          <w:tab w:val="left" w:pos="9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 впливу на сферу інтересів держави</w:t>
      </w:r>
    </w:p>
    <w:tbl>
      <w:tblPr>
        <w:tblW w:w="9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4350"/>
        <w:gridCol w:w="2400"/>
      </w:tblGrid>
      <w:tr w:rsidR="008C7793" w:rsidRPr="008C7793" w:rsidTr="00FC16FA">
        <w:trPr>
          <w:trHeight w:val="677"/>
        </w:trPr>
        <w:tc>
          <w:tcPr>
            <w:tcW w:w="3022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Вид альтернативи</w:t>
            </w:r>
          </w:p>
        </w:tc>
        <w:tc>
          <w:tcPr>
            <w:tcW w:w="4350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Вигоди</w:t>
            </w:r>
          </w:p>
        </w:tc>
        <w:tc>
          <w:tcPr>
            <w:tcW w:w="2400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 w:firstLine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Витрати</w:t>
            </w:r>
          </w:p>
        </w:tc>
      </w:tr>
      <w:tr w:rsidR="008C7793" w:rsidRPr="008C7793" w:rsidTr="00FC16FA">
        <w:trPr>
          <w:trHeight w:val="573"/>
        </w:trPr>
        <w:tc>
          <w:tcPr>
            <w:tcW w:w="3022" w:type="dxa"/>
          </w:tcPr>
          <w:p w:rsidR="008C7793" w:rsidRDefault="008C7793" w:rsidP="000E4382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C36E10" w:rsidRPr="008C7793" w:rsidRDefault="00C36E10" w:rsidP="000E4382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Залишення чинного регулювання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0" w:type="dxa"/>
          </w:tcPr>
          <w:p w:rsidR="00C36E10" w:rsidRPr="00C36E10" w:rsidRDefault="00C36E10" w:rsidP="00C36E10">
            <w:pPr>
              <w:widowControl w:val="0"/>
              <w:tabs>
                <w:tab w:val="left" w:pos="990"/>
              </w:tabs>
              <w:spacing w:after="120" w:line="240" w:lineRule="auto"/>
              <w:ind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Ситуація залишиться на існуючому рівні.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</w:tcPr>
          <w:p w:rsidR="008C7793" w:rsidRPr="008C7793" w:rsidRDefault="00C36E10" w:rsidP="00C36E10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C36E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Витрати залишаться на існуючому рівні.</w:t>
            </w:r>
          </w:p>
        </w:tc>
      </w:tr>
      <w:tr w:rsidR="008C7793" w:rsidRPr="008C7793" w:rsidTr="00FC16FA">
        <w:tc>
          <w:tcPr>
            <w:tcW w:w="3022" w:type="dxa"/>
          </w:tcPr>
          <w:p w:rsidR="008C7793" w:rsidRDefault="008C7793" w:rsidP="000E4382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2.</w:t>
            </w:r>
          </w:p>
          <w:p w:rsidR="000E4382" w:rsidRPr="000E4382" w:rsidRDefault="000E4382" w:rsidP="000E4382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Прийняття постанови Кабінету Міністрів України </w:t>
            </w:r>
            <w:r w:rsidRPr="000E43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«Про затвердження Порядку проведення аукціонів з продажу спеціальних дозволів на користування надрами шляхом електронних торгів, внесення змін та визнання такими, що втратили чинність, деяких постанов Кабінету Міністрів України»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E4382" w:rsidRPr="008C7793" w:rsidRDefault="000E4382" w:rsidP="000E4382">
            <w:pPr>
              <w:widowControl w:val="0"/>
              <w:tabs>
                <w:tab w:val="left" w:pos="990"/>
              </w:tabs>
              <w:spacing w:after="12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0" w:type="dxa"/>
          </w:tcPr>
          <w:p w:rsidR="00936C4D" w:rsidRPr="00936C4D" w:rsidRDefault="00936C4D" w:rsidP="00936C4D">
            <w:pPr>
              <w:widowControl w:val="0"/>
              <w:tabs>
                <w:tab w:val="left" w:pos="990"/>
              </w:tabs>
              <w:spacing w:after="120" w:line="240" w:lineRule="auto"/>
              <w:ind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Сприятиме:</w:t>
            </w:r>
          </w:p>
          <w:p w:rsidR="00936C4D" w:rsidRPr="00936C4D" w:rsidRDefault="00936C4D" w:rsidP="00936C4D">
            <w:pPr>
              <w:widowControl w:val="0"/>
              <w:tabs>
                <w:tab w:val="left" w:pos="990"/>
              </w:tabs>
              <w:spacing w:after="120" w:line="240" w:lineRule="auto"/>
              <w:ind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усуненню корупційних ризиків; збільшенню інвестиційної привабливості сфери надрокористування; наближенню законодавства України до Європейського рівня; покращенню розвитку ресурсного потенціалу держави;</w:t>
            </w:r>
          </w:p>
          <w:p w:rsidR="00AB4D85" w:rsidRPr="00F9414C" w:rsidRDefault="00936C4D" w:rsidP="00936C4D">
            <w:pPr>
              <w:widowControl w:val="0"/>
              <w:tabs>
                <w:tab w:val="left" w:pos="990"/>
              </w:tabs>
              <w:spacing w:after="120" w:line="240" w:lineRule="auto"/>
              <w:ind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залученню іноземних інвестицій.</w:t>
            </w:r>
          </w:p>
        </w:tc>
        <w:tc>
          <w:tcPr>
            <w:tcW w:w="2400" w:type="dxa"/>
          </w:tcPr>
          <w:p w:rsidR="008C7793" w:rsidRPr="008C7793" w:rsidRDefault="008C7793" w:rsidP="00C36E10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lastRenderedPageBreak/>
              <w:t>Відсутні.</w:t>
            </w:r>
          </w:p>
        </w:tc>
      </w:tr>
    </w:tbl>
    <w:p w:rsidR="008B546E" w:rsidRDefault="008B546E" w:rsidP="001C2091">
      <w:pPr>
        <w:widowControl w:val="0"/>
        <w:tabs>
          <w:tab w:val="left" w:pos="990"/>
        </w:tabs>
        <w:spacing w:after="120" w:line="240" w:lineRule="auto"/>
        <w:ind w:left="270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Оцінка впливу на сферу інтересів суб’єктів господарювання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2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1270"/>
        <w:gridCol w:w="1411"/>
        <w:gridCol w:w="1255"/>
        <w:gridCol w:w="1398"/>
        <w:gridCol w:w="1395"/>
      </w:tblGrid>
      <w:tr w:rsidR="008C7793" w:rsidRPr="008C7793" w:rsidTr="00FC16FA">
        <w:tc>
          <w:tcPr>
            <w:tcW w:w="2977" w:type="dxa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Показник</w:t>
            </w:r>
          </w:p>
        </w:tc>
        <w:tc>
          <w:tcPr>
            <w:tcW w:w="1276" w:type="dxa"/>
            <w:shd w:val="clear" w:color="auto" w:fill="auto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Великі*</w:t>
            </w:r>
          </w:p>
        </w:tc>
        <w:tc>
          <w:tcPr>
            <w:tcW w:w="1418" w:type="dxa"/>
            <w:shd w:val="clear" w:color="auto" w:fill="auto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Середні*</w:t>
            </w:r>
          </w:p>
        </w:tc>
        <w:tc>
          <w:tcPr>
            <w:tcW w:w="1275" w:type="dxa"/>
            <w:shd w:val="clear" w:color="auto" w:fill="auto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Малі*</w:t>
            </w:r>
          </w:p>
        </w:tc>
        <w:tc>
          <w:tcPr>
            <w:tcW w:w="1418" w:type="dxa"/>
            <w:shd w:val="clear" w:color="auto" w:fill="auto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Мікро*</w:t>
            </w:r>
          </w:p>
        </w:tc>
        <w:tc>
          <w:tcPr>
            <w:tcW w:w="1417" w:type="dxa"/>
            <w:shd w:val="clear" w:color="auto" w:fill="auto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Разом*</w:t>
            </w:r>
          </w:p>
        </w:tc>
      </w:tr>
      <w:tr w:rsidR="008C7793" w:rsidRPr="008C7793" w:rsidTr="00FC16FA">
        <w:tc>
          <w:tcPr>
            <w:tcW w:w="2977" w:type="dxa"/>
          </w:tcPr>
          <w:p w:rsidR="008C7793" w:rsidRPr="008C7793" w:rsidRDefault="008C7793" w:rsidP="001C20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472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2852</w:t>
            </w:r>
          </w:p>
        </w:tc>
      </w:tr>
      <w:tr w:rsidR="008C7793" w:rsidRPr="008C7793" w:rsidTr="00FC16FA">
        <w:tc>
          <w:tcPr>
            <w:tcW w:w="2977" w:type="dxa"/>
          </w:tcPr>
          <w:p w:rsidR="008C7793" w:rsidRPr="008C7793" w:rsidRDefault="008C7793" w:rsidP="001C20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Питома вага групи у загальній кількості, відсотків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1,89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61,04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</w:tr>
    </w:tbl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*Державна служба статистики України.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2268"/>
        <w:gridCol w:w="4720"/>
      </w:tblGrid>
      <w:tr w:rsidR="008C7793" w:rsidRPr="008C7793" w:rsidTr="00FC16FA">
        <w:trPr>
          <w:trHeight w:val="20"/>
        </w:trPr>
        <w:tc>
          <w:tcPr>
            <w:tcW w:w="2694" w:type="dxa"/>
            <w:vAlign w:val="center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 w:firstLine="1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Вид альтернативи</w:t>
            </w:r>
          </w:p>
        </w:tc>
        <w:tc>
          <w:tcPr>
            <w:tcW w:w="2268" w:type="dxa"/>
            <w:vAlign w:val="center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Вигоди</w:t>
            </w:r>
          </w:p>
        </w:tc>
        <w:tc>
          <w:tcPr>
            <w:tcW w:w="4810" w:type="dxa"/>
            <w:vAlign w:val="center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 w:hanging="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Витрати</w:t>
            </w:r>
          </w:p>
        </w:tc>
      </w:tr>
      <w:tr w:rsidR="008C7793" w:rsidRPr="008C7793" w:rsidTr="00FC16FA">
        <w:trPr>
          <w:trHeight w:val="702"/>
        </w:trPr>
        <w:tc>
          <w:tcPr>
            <w:tcW w:w="2694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8C7793" w:rsidRPr="008C7793" w:rsidRDefault="00936C4D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Залишення чинного регулювання</w:t>
            </w:r>
          </w:p>
        </w:tc>
        <w:tc>
          <w:tcPr>
            <w:tcW w:w="2268" w:type="dxa"/>
          </w:tcPr>
          <w:p w:rsidR="008C7793" w:rsidRPr="008C7793" w:rsidRDefault="00936C4D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Ситуація залишиться на існуючому рівні.</w:t>
            </w:r>
          </w:p>
        </w:tc>
        <w:tc>
          <w:tcPr>
            <w:tcW w:w="4810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hanging="1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Витрати залишаться на існуючому рівні.</w:t>
            </w:r>
          </w:p>
        </w:tc>
      </w:tr>
      <w:tr w:rsidR="008C7793" w:rsidRPr="008C7793" w:rsidTr="00FC16FA">
        <w:trPr>
          <w:trHeight w:val="2080"/>
        </w:trPr>
        <w:tc>
          <w:tcPr>
            <w:tcW w:w="2694" w:type="dxa"/>
          </w:tcPr>
          <w:p w:rsidR="008C7793" w:rsidRPr="008C7793" w:rsidRDefault="008C7793" w:rsidP="00936C4D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2.</w:t>
            </w:r>
          </w:p>
          <w:p w:rsidR="00936C4D" w:rsidRPr="00936C4D" w:rsidRDefault="00936C4D" w:rsidP="00936C4D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6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Прийняття постанови Кабінету Міністрів України </w:t>
            </w:r>
            <w:r w:rsidRPr="00936C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«Про затвердження Порядку проведення аукціонів з продажу спеціальних </w:t>
            </w:r>
            <w:r w:rsidRPr="00936C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дозволів на користування надрами шляхом електронних торгів, внесення змін та визнання такими, що втратили чинність, деяких постанов Кабінету Міністрів України».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firstLine="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C7793" w:rsidRPr="008C7793" w:rsidRDefault="008C7793" w:rsidP="001C2091">
            <w:pPr>
              <w:widowControl w:val="0"/>
              <w:shd w:val="clear" w:color="auto" w:fill="FFFFFF"/>
              <w:tabs>
                <w:tab w:val="left" w:pos="990"/>
              </w:tabs>
              <w:spacing w:after="0" w:line="240" w:lineRule="auto"/>
              <w:ind w:firstLine="17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Забезпечення прав та інтересів суб’єктів господарювання.</w:t>
            </w:r>
          </w:p>
        </w:tc>
        <w:tc>
          <w:tcPr>
            <w:tcW w:w="4810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А саме: 0,5 год на ознайомлення з нормативно-правовим актом.</w:t>
            </w:r>
          </w:p>
        </w:tc>
      </w:tr>
    </w:tbl>
    <w:p w:rsidR="006A0C72" w:rsidRDefault="006A0C72" w:rsidP="001C2091">
      <w:pPr>
        <w:widowControl w:val="0"/>
        <w:tabs>
          <w:tab w:val="left" w:pos="99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Hlk16164988"/>
    </w:p>
    <w:p w:rsidR="008C7793" w:rsidRPr="008C7793" w:rsidRDefault="008C7793" w:rsidP="001C2091">
      <w:pPr>
        <w:widowControl w:val="0"/>
        <w:tabs>
          <w:tab w:val="left" w:pos="99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1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малого підприємництва (М-Тест)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Консультації з представниками мікро – та малого підприємництва щодо оцінки впливу регулювання.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</w:t>
      </w:r>
      <w:r w:rsidR="007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 </w:t>
      </w: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842"/>
        <w:gridCol w:w="2942"/>
      </w:tblGrid>
      <w:tr w:rsidR="008C7793" w:rsidRPr="008C7793" w:rsidTr="00FC16FA">
        <w:tc>
          <w:tcPr>
            <w:tcW w:w="675" w:type="dxa"/>
            <w:shd w:val="clear" w:color="auto" w:fill="auto"/>
            <w:vAlign w:val="center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П/н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учасників консультацій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 результати консультацій</w:t>
            </w:r>
          </w:p>
        </w:tc>
      </w:tr>
      <w:tr w:rsidR="008C7793" w:rsidRPr="008C7793" w:rsidTr="00FC16FA">
        <w:trPr>
          <w:trHeight w:val="4572"/>
        </w:trPr>
        <w:tc>
          <w:tcPr>
            <w:tcW w:w="67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Телефонні консультації із суб’єктами підприємницької діяльності – надрокористувачами.</w:t>
            </w:r>
          </w:p>
        </w:tc>
        <w:tc>
          <w:tcPr>
            <w:tcW w:w="1842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2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Регулювання сприймається.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Отримано інформацію щодо переліку процедур, які необхідно виконати у зв’язку із запровадженням нових вимог регулювання: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ознайомитися з новими вимогами регулювання – 0,5 год.</w:t>
            </w:r>
          </w:p>
        </w:tc>
      </w:tr>
    </w:tbl>
    <w:p w:rsidR="008B546E" w:rsidRDefault="008B546E" w:rsidP="001C2091">
      <w:pPr>
        <w:widowControl w:val="0"/>
        <w:tabs>
          <w:tab w:val="left" w:pos="851"/>
          <w:tab w:val="left" w:pos="99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793" w:rsidRPr="008C7793" w:rsidRDefault="008C7793" w:rsidP="001C2091">
      <w:pPr>
        <w:widowControl w:val="0"/>
        <w:tabs>
          <w:tab w:val="left" w:pos="851"/>
          <w:tab w:val="left" w:pos="99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Вимірювання впливу регулювання на суб’єктів малого підприємництва:</w:t>
      </w:r>
    </w:p>
    <w:p w:rsidR="008C7793" w:rsidRPr="008C7793" w:rsidRDefault="008C7793" w:rsidP="001C2091">
      <w:pPr>
        <w:widowControl w:val="0"/>
        <w:tabs>
          <w:tab w:val="left" w:pos="142"/>
          <w:tab w:val="left" w:pos="990"/>
        </w:tabs>
        <w:spacing w:after="120" w:line="240" w:lineRule="auto"/>
        <w:ind w:left="-142"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суб'єктів малого(мікро) підприємництва, на яких поширюється регулювання: 2326.</w:t>
      </w:r>
    </w:p>
    <w:p w:rsidR="008C7793" w:rsidRPr="008C7793" w:rsidRDefault="008C7793" w:rsidP="001C2091">
      <w:pPr>
        <w:widowControl w:val="0"/>
        <w:tabs>
          <w:tab w:val="left" w:pos="142"/>
          <w:tab w:val="left" w:pos="990"/>
        </w:tabs>
        <w:spacing w:after="12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питома вага суб'єктів малого підприємництва у загальній кількості суб'єктів господарювання, на яких проблема справляє вплив 81,5 %.</w:t>
      </w:r>
    </w:p>
    <w:p w:rsidR="008C7793" w:rsidRPr="008C7793" w:rsidRDefault="008C7793" w:rsidP="001C2091">
      <w:pPr>
        <w:widowControl w:val="0"/>
        <w:numPr>
          <w:ilvl w:val="0"/>
          <w:numId w:val="1"/>
        </w:numPr>
        <w:tabs>
          <w:tab w:val="left" w:pos="990"/>
        </w:tabs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Розрахунок витрат суб’єкта малого підприємництва на виконання вимог регулювання.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56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розрахунку вартості 1 години роботи використано вартість 1 години роботи, яка відповідно до Закону України «Про Державний бюджет України на 20</w:t>
      </w:r>
      <w:r w:rsidR="00A85056" w:rsidRPr="00A850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рік», з 1 січня 20</w:t>
      </w:r>
      <w:r w:rsidR="00A85056" w:rsidRPr="00A850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становить – </w:t>
      </w:r>
      <w:r w:rsidR="00A85056" w:rsidRPr="00A8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28,31 </w:t>
      </w:r>
      <w:r w:rsidRPr="00A850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гривні.</w:t>
      </w: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Первинна інформація про вимоги регулювання може бути отримана за результатами пошуку</w:t>
      </w: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постанови Кабінету Міністрів України </w:t>
      </w:r>
      <w:r w:rsidR="000E106E" w:rsidRPr="000E1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 затвердження Порядку проведення аукціонів з продажу спеціальних дозволів на користування надрами шляхом електронних торгів та визнання такими, що втратили чинність, деяких постанов Кабінету Міністрів України»</w:t>
      </w:r>
      <w:r w:rsidR="000E1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офіційному веб</w:t>
      </w: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 Державної служби геології та надр України.</w:t>
      </w:r>
    </w:p>
    <w:p w:rsidR="008C7793" w:rsidRDefault="008C7793" w:rsidP="001C2091">
      <w:pPr>
        <w:widowControl w:val="0"/>
        <w:tabs>
          <w:tab w:val="left" w:pos="990"/>
        </w:tabs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 про розмір часу, який витрачається суб’єктами на отримання зазначеної інформації є оціночною.</w:t>
      </w:r>
    </w:p>
    <w:p w:rsidR="006A0C72" w:rsidRPr="008C7793" w:rsidRDefault="006A0C72" w:rsidP="001C2091">
      <w:pPr>
        <w:widowControl w:val="0"/>
        <w:tabs>
          <w:tab w:val="left" w:pos="990"/>
        </w:tabs>
        <w:spacing w:after="12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Розрахунок витрат суб’єктів малого підприємництва на виконання вимог регулювання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985"/>
        <w:gridCol w:w="141"/>
        <w:gridCol w:w="1863"/>
        <w:gridCol w:w="16"/>
        <w:gridCol w:w="1604"/>
      </w:tblGrid>
      <w:tr w:rsidR="008C7793" w:rsidRPr="008C7793" w:rsidTr="00FC16FA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C7793" w:rsidRPr="008C7793" w:rsidRDefault="008C7793" w:rsidP="001C209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8C7793" w:rsidRPr="008C7793" w:rsidRDefault="008C7793" w:rsidP="001C209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 оцінки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C7793" w:rsidRPr="008C7793" w:rsidRDefault="008C7793" w:rsidP="001C209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перший рік (стартовий рік впровадження регулювання)</w:t>
            </w: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7793" w:rsidRPr="008C7793" w:rsidRDefault="008C7793" w:rsidP="001C209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Періодичні (за наступний рік)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7793" w:rsidRPr="008C7793" w:rsidRDefault="008C7793" w:rsidP="001C209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 за</w:t>
            </w:r>
          </w:p>
          <w:p w:rsidR="008C7793" w:rsidRPr="008C7793" w:rsidRDefault="008C7793" w:rsidP="001C2091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п’ять років</w:t>
            </w:r>
          </w:p>
        </w:tc>
      </w:tr>
      <w:tr w:rsidR="008C7793" w:rsidRPr="008C7793" w:rsidTr="00FC16FA">
        <w:tc>
          <w:tcPr>
            <w:tcW w:w="9862" w:type="dxa"/>
            <w:gridSpan w:val="7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0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120" w:line="240" w:lineRule="auto"/>
              <w:ind w:left="10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firstLine="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firstLine="9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firstLine="9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C7793" w:rsidRPr="008C7793" w:rsidTr="00FC16FA">
        <w:trPr>
          <w:trHeight w:val="840"/>
        </w:trPr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процедури: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Разом, гривень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Формула: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(сума рядків 1 + 2 + 3 + 4 + 5)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суб’єктів господарювання, що повинні виконати вимоги регулювання, одиниць.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Сумарно, гривень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Формула:</w:t>
            </w:r>
          </w:p>
          <w:p w:rsidR="008C7793" w:rsidRPr="008C7793" w:rsidRDefault="00B76536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відповідний стовпчик “разом” Х </w:t>
            </w:r>
            <w:r w:rsidR="008C7793" w:rsidRPr="008C77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8C7793" w:rsidRDefault="008C7793" w:rsidP="001C209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p w:rsidR="00B76536" w:rsidRPr="008C7793" w:rsidRDefault="00B76536" w:rsidP="001C209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162"/>
        <w:gridCol w:w="2277"/>
        <w:gridCol w:w="1170"/>
      </w:tblGrid>
      <w:tr w:rsidR="008C7793" w:rsidRPr="008C7793" w:rsidTr="00FC16FA">
        <w:tc>
          <w:tcPr>
            <w:tcW w:w="9862" w:type="dxa"/>
            <w:gridSpan w:val="5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_Hlk508910343"/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Оцінка вартості адміністративних процедур суб’єктів малого підприємництва щодо виконання регулювання</w:t>
            </w: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 w:right="6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Процедури отримання первинної інформації про вимоги регулювання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 w:right="69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Формула: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 w:right="6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витрати часу на отримання інформації про регулювання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162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год. (час, який витрачається с/г на пошук нормативно-правового акту в мережі Інтернет та ознайомлення з ним; за результатами консультацій)</w:t>
            </w:r>
            <w:r w:rsidRPr="008C77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2</w:t>
            </w:r>
            <w:r w:rsidR="00B7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7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грн. = </w:t>
            </w:r>
          </w:p>
          <w:p w:rsidR="008C7793" w:rsidRPr="008C7793" w:rsidRDefault="008C7793" w:rsidP="00B76536">
            <w:pPr>
              <w:widowControl w:val="0"/>
              <w:tabs>
                <w:tab w:val="left" w:pos="990"/>
              </w:tabs>
              <w:spacing w:after="12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76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грн.</w:t>
            </w:r>
          </w:p>
        </w:tc>
        <w:tc>
          <w:tcPr>
            <w:tcW w:w="2277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120" w:line="240" w:lineRule="auto"/>
              <w:ind w:left="10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after="120" w:line="240" w:lineRule="auto"/>
              <w:ind w:left="10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(припущено, що суб’єкт повинен виконувати вимоги регулювання лише в перший рік; за результатами консультацій)</w:t>
            </w:r>
          </w:p>
        </w:tc>
        <w:tc>
          <w:tcPr>
            <w:tcW w:w="11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грн.</w:t>
            </w: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Процедури організації виконання вимог регулювання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Формула: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витрати часу на розроблення та </w:t>
            </w:r>
            <w:r w:rsidRPr="008C77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2162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firstLine="9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2277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Процедури офіційного звітування. </w:t>
            </w:r>
          </w:p>
        </w:tc>
        <w:tc>
          <w:tcPr>
            <w:tcW w:w="2162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77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793" w:rsidRPr="008C7793" w:rsidTr="00FC16FA">
        <w:trPr>
          <w:trHeight w:val="840"/>
        </w:trPr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Процедури щодо забезпечення процесу перевірок </w:t>
            </w:r>
          </w:p>
        </w:tc>
        <w:tc>
          <w:tcPr>
            <w:tcW w:w="2162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2" w:hanging="1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77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140"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C7793" w:rsidRPr="008C7793" w:rsidTr="00FC16FA"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процедури:</w:t>
            </w:r>
          </w:p>
        </w:tc>
        <w:tc>
          <w:tcPr>
            <w:tcW w:w="2162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3" w:rsidRPr="008C7793" w:rsidTr="00FC16FA">
        <w:trPr>
          <w:trHeight w:val="649"/>
        </w:trPr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Разом, гривень</w:t>
            </w:r>
          </w:p>
        </w:tc>
        <w:tc>
          <w:tcPr>
            <w:tcW w:w="2162" w:type="dxa"/>
            <w:shd w:val="clear" w:color="auto" w:fill="auto"/>
          </w:tcPr>
          <w:p w:rsidR="008C7793" w:rsidRPr="008C7793" w:rsidRDefault="008C7793" w:rsidP="001B4139">
            <w:pPr>
              <w:widowControl w:val="0"/>
              <w:tabs>
                <w:tab w:val="center" w:pos="813"/>
                <w:tab w:val="left" w:pos="990"/>
              </w:tabs>
              <w:spacing w:after="120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B4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B4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77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8C7793" w:rsidRPr="008C7793" w:rsidRDefault="008C7793" w:rsidP="001B4139">
            <w:pPr>
              <w:widowControl w:val="0"/>
              <w:tabs>
                <w:tab w:val="left" w:pos="990"/>
              </w:tabs>
              <w:spacing w:after="120" w:line="240" w:lineRule="auto"/>
              <w:ind w:hanging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B4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B4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C7793" w:rsidRPr="008C7793" w:rsidTr="00FC16FA">
        <w:trPr>
          <w:trHeight w:val="921"/>
        </w:trPr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суб’єктів малого підприємництва, що повинні виконати вимоги регулювання, одиниць.</w:t>
            </w:r>
          </w:p>
        </w:tc>
        <w:tc>
          <w:tcPr>
            <w:tcW w:w="2162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4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2326</w:t>
            </w:r>
          </w:p>
        </w:tc>
        <w:tc>
          <w:tcPr>
            <w:tcW w:w="2277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-1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2326</w:t>
            </w:r>
          </w:p>
        </w:tc>
      </w:tr>
      <w:tr w:rsidR="008C7793" w:rsidRPr="008C7793" w:rsidTr="00FC16FA">
        <w:trPr>
          <w:trHeight w:val="480"/>
        </w:trPr>
        <w:tc>
          <w:tcPr>
            <w:tcW w:w="568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85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Сумарно, гривень</w:t>
            </w:r>
          </w:p>
        </w:tc>
        <w:tc>
          <w:tcPr>
            <w:tcW w:w="2162" w:type="dxa"/>
            <w:shd w:val="clear" w:color="auto" w:fill="auto"/>
          </w:tcPr>
          <w:p w:rsidR="008C7793" w:rsidRPr="008C7793" w:rsidRDefault="001B4139" w:rsidP="001B4139">
            <w:pPr>
              <w:widowControl w:val="0"/>
              <w:tabs>
                <w:tab w:val="left" w:pos="990"/>
              </w:tabs>
              <w:spacing w:after="120" w:line="240" w:lineRule="auto"/>
              <w:ind w:left="-14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32 936</w:t>
            </w:r>
          </w:p>
        </w:tc>
        <w:tc>
          <w:tcPr>
            <w:tcW w:w="2277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 w:hanging="14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8C7793" w:rsidRPr="008C7793" w:rsidRDefault="001B4139" w:rsidP="001C2091">
            <w:pPr>
              <w:widowControl w:val="0"/>
              <w:tabs>
                <w:tab w:val="left" w:pos="990"/>
              </w:tabs>
              <w:spacing w:after="120" w:line="240" w:lineRule="auto"/>
              <w:ind w:hanging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32 936</w:t>
            </w:r>
          </w:p>
        </w:tc>
      </w:tr>
      <w:bookmarkEnd w:id="4"/>
      <w:bookmarkEnd w:id="5"/>
    </w:tbl>
    <w:p w:rsidR="001B4139" w:rsidRDefault="001B4139" w:rsidP="001C2091">
      <w:pPr>
        <w:widowControl w:val="0"/>
        <w:tabs>
          <w:tab w:val="left" w:pos="990"/>
        </w:tabs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Витрати на одного суб’єкта господарювання великого і середнього підприємництва, які виникають внаслідок дії регуляторного акта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14"/>
        <w:gridCol w:w="1782"/>
        <w:gridCol w:w="1818"/>
      </w:tblGrid>
      <w:tr w:rsidR="008C7793" w:rsidRPr="008C7793" w:rsidTr="00FC1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П/н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перший рік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п’ять років</w:t>
            </w:r>
          </w:p>
        </w:tc>
      </w:tr>
      <w:tr w:rsidR="008C7793" w:rsidRPr="008C7793" w:rsidTr="00FC1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1C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Процедури отримання первинної інформації про вимоги регулювання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8C7793" w:rsidRDefault="008C7793" w:rsidP="004D413E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D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грн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8C7793" w:rsidRDefault="008C7793" w:rsidP="004D413E">
            <w:pPr>
              <w:keepNext/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D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грн</w:t>
            </w:r>
          </w:p>
        </w:tc>
      </w:tr>
      <w:tr w:rsidR="008C7793" w:rsidRPr="008C7793" w:rsidTr="00FC1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1C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Процедури організації виконання вимог регулювання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0.00 грн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0.00 грн </w:t>
            </w:r>
          </w:p>
        </w:tc>
      </w:tr>
      <w:tr w:rsidR="008C7793" w:rsidRPr="008C7793" w:rsidTr="00FC1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4D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 (сума рядків: 1+2), гривень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8C7793" w:rsidRDefault="008C7793" w:rsidP="004D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D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грн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8C7793" w:rsidRDefault="008C7793" w:rsidP="004D413E">
            <w:pPr>
              <w:tabs>
                <w:tab w:val="left" w:pos="552"/>
                <w:tab w:val="center" w:pos="8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D4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грн</w:t>
            </w:r>
          </w:p>
        </w:tc>
      </w:tr>
      <w:tr w:rsidR="008C7793" w:rsidRPr="008C7793" w:rsidTr="00FC1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1C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</w:tr>
      <w:tr w:rsidR="008C7793" w:rsidRPr="008C7793" w:rsidTr="00FC1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93" w:rsidRPr="008C7793" w:rsidRDefault="008C7793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793" w:rsidRPr="008C7793" w:rsidRDefault="008C7793" w:rsidP="001C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3 х рядок 4), гривень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8C7793" w:rsidRDefault="004D413E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7 448 </w:t>
            </w:r>
            <w:r w:rsidR="008C7793"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93" w:rsidRPr="008C7793" w:rsidRDefault="004D413E" w:rsidP="001C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41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448</w:t>
            </w:r>
            <w:r w:rsidR="008C7793"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грн.</w:t>
            </w:r>
          </w:p>
        </w:tc>
      </w:tr>
    </w:tbl>
    <w:p w:rsidR="00AB4D85" w:rsidRPr="001C2091" w:rsidRDefault="00AB4D85" w:rsidP="001C2091">
      <w:pPr>
        <w:widowControl w:val="0"/>
        <w:tabs>
          <w:tab w:val="left" w:pos="990"/>
        </w:tabs>
        <w:spacing w:after="120" w:line="240" w:lineRule="auto"/>
        <w:ind w:left="270" w:firstLine="91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8C7793" w:rsidRPr="008C7793" w:rsidTr="00FC16FA">
        <w:tc>
          <w:tcPr>
            <w:tcW w:w="4253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Сумарні витрати за альтернативами</w:t>
            </w:r>
          </w:p>
        </w:tc>
        <w:tc>
          <w:tcPr>
            <w:tcW w:w="56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 витрат, гривень</w:t>
            </w:r>
          </w:p>
        </w:tc>
      </w:tr>
      <w:tr w:rsidR="008C7793" w:rsidRPr="008C7793" w:rsidTr="00FC16FA">
        <w:tc>
          <w:tcPr>
            <w:tcW w:w="4253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Альтернатива 1.</w:t>
            </w:r>
          </w:p>
        </w:tc>
        <w:tc>
          <w:tcPr>
            <w:tcW w:w="56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3" w:rsidRPr="008C7793" w:rsidTr="00FC16FA">
        <w:tc>
          <w:tcPr>
            <w:tcW w:w="4253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Витрати держави</w:t>
            </w:r>
          </w:p>
        </w:tc>
        <w:tc>
          <w:tcPr>
            <w:tcW w:w="56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</w:t>
            </w:r>
          </w:p>
        </w:tc>
      </w:tr>
      <w:tr w:rsidR="008C7793" w:rsidRPr="008C7793" w:rsidTr="00FC16FA">
        <w:tc>
          <w:tcPr>
            <w:tcW w:w="4253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Витрати с/г великого та середнього підприємництва</w:t>
            </w:r>
          </w:p>
        </w:tc>
        <w:tc>
          <w:tcPr>
            <w:tcW w:w="56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Див. Розділ Оцінка впливу на сферу інтересів суб’єктів господарювання</w:t>
            </w:r>
          </w:p>
        </w:tc>
      </w:tr>
      <w:tr w:rsidR="008C7793" w:rsidRPr="008C7793" w:rsidTr="00FC16FA">
        <w:tc>
          <w:tcPr>
            <w:tcW w:w="4253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Витрати с/г малого підприємництва</w:t>
            </w:r>
          </w:p>
        </w:tc>
        <w:tc>
          <w:tcPr>
            <w:tcW w:w="56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Див. Розділ Оцінка впливу на сферу інтересів суб’єктів господарювання</w:t>
            </w:r>
          </w:p>
        </w:tc>
      </w:tr>
      <w:tr w:rsidR="008C7793" w:rsidRPr="008C7793" w:rsidTr="00FC16FA">
        <w:tc>
          <w:tcPr>
            <w:tcW w:w="4253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bookmarkStart w:id="6" w:name="_Hlk16069202"/>
            <w:r w:rsidRPr="008C77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Альтернатива 2.</w:t>
            </w:r>
          </w:p>
        </w:tc>
        <w:tc>
          <w:tcPr>
            <w:tcW w:w="56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3" w:rsidRPr="008C7793" w:rsidTr="00FC16FA">
        <w:tc>
          <w:tcPr>
            <w:tcW w:w="4253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Витрати держави</w:t>
            </w:r>
          </w:p>
        </w:tc>
        <w:tc>
          <w:tcPr>
            <w:tcW w:w="5670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C7793" w:rsidRPr="008C7793" w:rsidTr="00FC16FA">
        <w:tc>
          <w:tcPr>
            <w:tcW w:w="4253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Витрати с/г великого та середнього підприємництва</w:t>
            </w:r>
          </w:p>
        </w:tc>
        <w:tc>
          <w:tcPr>
            <w:tcW w:w="5670" w:type="dxa"/>
            <w:shd w:val="clear" w:color="auto" w:fill="auto"/>
          </w:tcPr>
          <w:p w:rsidR="008C7793" w:rsidRPr="008C7793" w:rsidRDefault="00BC64F9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7 448</w:t>
            </w:r>
            <w:r w:rsidR="008C7793"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грн.</w:t>
            </w:r>
          </w:p>
        </w:tc>
      </w:tr>
      <w:tr w:rsidR="008C7793" w:rsidRPr="008C7793" w:rsidTr="00FC16FA">
        <w:tc>
          <w:tcPr>
            <w:tcW w:w="4253" w:type="dxa"/>
            <w:shd w:val="clear" w:color="auto" w:fill="auto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Витрати с/г малого підприємництва</w:t>
            </w:r>
          </w:p>
        </w:tc>
        <w:tc>
          <w:tcPr>
            <w:tcW w:w="5670" w:type="dxa"/>
            <w:shd w:val="clear" w:color="auto" w:fill="auto"/>
          </w:tcPr>
          <w:p w:rsidR="008C7793" w:rsidRPr="008C7793" w:rsidRDefault="00BC64F9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32 936</w:t>
            </w:r>
            <w:r w:rsidR="008C7793"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грн.</w:t>
            </w:r>
          </w:p>
        </w:tc>
      </w:tr>
      <w:bookmarkEnd w:id="6"/>
    </w:tbl>
    <w:p w:rsidR="00BC64F9" w:rsidRDefault="00BC64F9" w:rsidP="001C2091">
      <w:pPr>
        <w:widowControl w:val="0"/>
        <w:tabs>
          <w:tab w:val="left" w:pos="99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 Вибір найбільш оптимального альтернативного способу досягнення цілей</w:t>
      </w:r>
    </w:p>
    <w:tbl>
      <w:tblPr>
        <w:tblW w:w="9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44"/>
        <w:gridCol w:w="1366"/>
        <w:gridCol w:w="1735"/>
        <w:gridCol w:w="2247"/>
      </w:tblGrid>
      <w:tr w:rsidR="008C7793" w:rsidRPr="008C7793" w:rsidTr="00FC16FA">
        <w:tc>
          <w:tcPr>
            <w:tcW w:w="2410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144" w:type="dxa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5348" w:type="dxa"/>
            <w:gridSpan w:val="3"/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Коментарі щодо присвоєння відповідного бала</w:t>
            </w:r>
          </w:p>
        </w:tc>
      </w:tr>
      <w:tr w:rsidR="008C7793" w:rsidRPr="008C7793" w:rsidTr="00FC16FA">
        <w:tc>
          <w:tcPr>
            <w:tcW w:w="2410" w:type="dxa"/>
            <w:tcBorders>
              <w:bottom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8C7793" w:rsidRPr="008C7793" w:rsidRDefault="00891CD5" w:rsidP="00891CD5">
            <w:pPr>
              <w:widowControl w:val="0"/>
              <w:tabs>
                <w:tab w:val="left" w:pos="990"/>
              </w:tabs>
              <w:spacing w:after="120" w:line="240" w:lineRule="auto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Залишення чинного регулювання.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8" w:type="dxa"/>
            <w:gridSpan w:val="3"/>
            <w:tcBorders>
              <w:bottom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Така альтернатива не сприятиме досягненню цілей державного регулювання.</w:t>
            </w:r>
            <w:r w:rsidRPr="008C7793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Залишаються проблеми зазначені у Розділі 1 Аналізу.</w:t>
            </w:r>
          </w:p>
        </w:tc>
      </w:tr>
      <w:tr w:rsidR="008C7793" w:rsidRPr="008C7793" w:rsidTr="00FC16FA">
        <w:tc>
          <w:tcPr>
            <w:tcW w:w="2410" w:type="dxa"/>
            <w:tcBorders>
              <w:bottom w:val="single" w:sz="4" w:space="0" w:color="auto"/>
            </w:tcBorders>
          </w:tcPr>
          <w:p w:rsidR="00276AC8" w:rsidRPr="00276AC8" w:rsidRDefault="008C7793" w:rsidP="00276AC8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2.</w:t>
            </w:r>
            <w:r w:rsidR="00276AC8" w:rsidRPr="0027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Прийняття постанови Кабінету Міністрів України </w:t>
            </w:r>
            <w:r w:rsidR="00276AC8" w:rsidRPr="00276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«Про затвердження Порядку проведення аукціонів з продажу спеціальних </w:t>
            </w:r>
            <w:r w:rsidR="00276AC8" w:rsidRPr="00276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дозволів на користування надрами шляхом електронних торгів, внесення змін та визнання такими, що втратили чинність, деяких постанов Кабінету Міністрів України».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348" w:type="dxa"/>
            <w:gridSpan w:val="3"/>
            <w:tcBorders>
              <w:bottom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Така альтернатива сприятиме досягнен</w:t>
            </w:r>
            <w:r w:rsidR="0027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 цілей державного регулювання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6AC8" w:rsidRPr="0027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щодо: забезпечення прав та інтересів суб’єктів господарювання видобувної галузі, ефективного та прозорого регулювання з питань надання спеціальних дозволів на користування надрами, </w:t>
            </w:r>
            <w:r w:rsidR="00276AC8" w:rsidRPr="00276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забезпечить продовження функціювання проведення аукціонів з продажу спеціальних дозволів на користування надрами шляхом електронних торгів</w:t>
            </w:r>
            <w:r w:rsidR="00276AC8" w:rsidRPr="0027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що в свою чергу сприятиме отриманню адміністративних </w:t>
            </w:r>
            <w:r w:rsidR="00276AC8" w:rsidRPr="0027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послуг належної якості, а також збільшенню інвестиційної привабливості сфери надрокористування; наближенню законодавства України до Європейського рівня.</w:t>
            </w:r>
          </w:p>
        </w:tc>
      </w:tr>
      <w:tr w:rsidR="008C7793" w:rsidRPr="008C7793" w:rsidTr="00FC16FA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180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C7793" w:rsidRPr="008C7793" w:rsidTr="00FC16FA">
        <w:tc>
          <w:tcPr>
            <w:tcW w:w="2410" w:type="dxa"/>
            <w:tcBorders>
              <w:top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 результативності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Вигоди (підсумок)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 (підсумок)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Обґрунтування відповідного місця альтернативи у рейтингу</w:t>
            </w:r>
          </w:p>
        </w:tc>
      </w:tr>
      <w:tr w:rsidR="00E5772B" w:rsidRPr="008C7793" w:rsidTr="00FC16FA">
        <w:tc>
          <w:tcPr>
            <w:tcW w:w="2410" w:type="dxa"/>
            <w:tcBorders>
              <w:top w:val="single" w:sz="4" w:space="0" w:color="auto"/>
            </w:tcBorders>
          </w:tcPr>
          <w:p w:rsidR="00E5772B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891CD5" w:rsidRPr="008C7793" w:rsidRDefault="00891CD5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Залишення чинного регулювання.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E5772B" w:rsidRPr="00E5772B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держави: </w:t>
            </w:r>
          </w:p>
          <w:p w:rsidR="00E5772B" w:rsidRPr="00E5772B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Ситуація залишиться на існуючому рівні.</w:t>
            </w:r>
          </w:p>
          <w:p w:rsidR="00E5772B" w:rsidRPr="00E5772B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Для суб’єктів господарювання: </w:t>
            </w:r>
          </w:p>
          <w:p w:rsidR="00E5772B" w:rsidRPr="008C7793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Відсутні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</w:tcPr>
          <w:p w:rsidR="00E5772B" w:rsidRPr="00E5772B" w:rsidRDefault="00E5772B" w:rsidP="002F03DA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держави:</w:t>
            </w:r>
          </w:p>
          <w:p w:rsidR="00E5772B" w:rsidRPr="00E5772B" w:rsidRDefault="00E5772B" w:rsidP="002F03DA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Відсутні</w:t>
            </w:r>
          </w:p>
          <w:p w:rsidR="00E5772B" w:rsidRPr="00E5772B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суб’єктів господарювання:</w:t>
            </w:r>
            <w:r w:rsidRPr="00E57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5772B" w:rsidRPr="00E5772B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 залишаться на існуючому рівні.</w:t>
            </w:r>
          </w:p>
          <w:p w:rsidR="00E5772B" w:rsidRPr="008C7793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E5772B" w:rsidRPr="008C7793" w:rsidRDefault="00E5772B" w:rsidP="00E5772B">
            <w:pPr>
              <w:widowControl w:val="0"/>
              <w:tabs>
                <w:tab w:val="left" w:pos="-3686"/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 найгіршою з альтернатив, оскільки не дає змоги досягнути поставлених цілей державного регулювання та не відповідатиме вимогам діючого законодавства.</w:t>
            </w:r>
          </w:p>
        </w:tc>
      </w:tr>
      <w:tr w:rsidR="008C7793" w:rsidRPr="008C7793" w:rsidTr="00FC16FA">
        <w:tc>
          <w:tcPr>
            <w:tcW w:w="2410" w:type="dxa"/>
            <w:tcBorders>
              <w:bottom w:val="single" w:sz="4" w:space="0" w:color="auto"/>
            </w:tcBorders>
          </w:tcPr>
          <w:p w:rsidR="00276AC8" w:rsidRPr="008C7793" w:rsidRDefault="008C7793" w:rsidP="00276AC8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2.</w:t>
            </w:r>
          </w:p>
          <w:p w:rsidR="00276AC8" w:rsidRPr="00276AC8" w:rsidRDefault="00276AC8" w:rsidP="00276AC8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Прийняття постанови Кабінету Міністрів України </w:t>
            </w:r>
            <w:r w:rsidRPr="00276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«Про затвердження Порядку проведення аукціонів з </w:t>
            </w:r>
            <w:r w:rsidRPr="00276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продажу спеціальних дозволів на користування надрами шляхом електронних торгів, внесення змін та визнання такими, що втратили чинність, деяких постанов Кабінету Міністрів України».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Для держави: </w:t>
            </w:r>
          </w:p>
          <w:p w:rsidR="00276AC8" w:rsidRPr="00276AC8" w:rsidRDefault="00276AC8" w:rsidP="00276AC8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Забезпечить </w:t>
            </w:r>
            <w:r w:rsidRPr="00276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продовження функціювання електронних торгів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постійній основі, т</w:t>
            </w:r>
            <w:r w:rsidRPr="00276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акож сприятиме: усуненню </w:t>
            </w:r>
            <w:r w:rsidRPr="00276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корупційних ризиків; збільшенню інвестиційної привабливості сфери надрокористування; наближенню законодавства України до Європейського рівня; покращенню розвитку ресурсного потенціалу держави;</w:t>
            </w:r>
          </w:p>
          <w:p w:rsidR="00276AC8" w:rsidRDefault="00276AC8" w:rsidP="00276AC8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A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залученню іноземних інвестицій.</w:t>
            </w:r>
          </w:p>
          <w:p w:rsidR="008C7793" w:rsidRPr="008C7793" w:rsidRDefault="008C7793" w:rsidP="00276AC8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Для суб’єктів господарювання: </w:t>
            </w:r>
          </w:p>
          <w:p w:rsidR="008C7793" w:rsidRPr="008C7793" w:rsidRDefault="00276AC8" w:rsidP="00276AC8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Забезпечить врахування</w:t>
            </w:r>
            <w:r w:rsidR="008C7793" w:rsidRPr="00E5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 та законних інтересів суб’єктів господарювання у сфері надрокористування.</w:t>
            </w:r>
          </w:p>
        </w:tc>
        <w:tc>
          <w:tcPr>
            <w:tcW w:w="3101" w:type="dxa"/>
            <w:gridSpan w:val="2"/>
            <w:tcBorders>
              <w:bottom w:val="single" w:sz="4" w:space="0" w:color="auto"/>
            </w:tcBorders>
          </w:tcPr>
          <w:p w:rsidR="008C7793" w:rsidRPr="008C7793" w:rsidRDefault="008C7793" w:rsidP="00E5772B">
            <w:pPr>
              <w:widowControl w:val="0"/>
              <w:tabs>
                <w:tab w:val="left" w:pos="990"/>
              </w:tabs>
              <w:spacing w:after="120" w:line="240" w:lineRule="auto"/>
              <w:ind w:left="4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Для держави:</w:t>
            </w:r>
            <w:r w:rsidRPr="008C77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E5772B" w:rsidRPr="00E5772B" w:rsidRDefault="00E5772B" w:rsidP="00E5772B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577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Реалізація не потребує додаткових витрат з Державного бюджету</w:t>
            </w:r>
            <w:r w:rsidRPr="00E57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Для суб’єктів господарювання: 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Прогнозуються витрати, пов’язані виключно з необхідністю 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ознайомитись з новими вимогами регулювання.</w:t>
            </w:r>
          </w:p>
          <w:p w:rsidR="008C7793" w:rsidRP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саме: 0,5 год на ознайомлення з нормативно-правовим актом.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Дана альтернатива забезпечує потреби у розв’язанні проблеми та досягнення встановлених цілей.</w:t>
            </w:r>
          </w:p>
        </w:tc>
      </w:tr>
      <w:tr w:rsidR="008C7793" w:rsidRPr="008C7793" w:rsidTr="00FC16FA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793" w:rsidRPr="008C7793" w:rsidTr="00FC16FA">
        <w:tc>
          <w:tcPr>
            <w:tcW w:w="2410" w:type="dxa"/>
            <w:tcBorders>
              <w:top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</w:tcBorders>
          </w:tcPr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 ризику зовнішніх</w:t>
            </w:r>
            <w:r w:rsidRPr="008C7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чинників на дію запропонованого регуляторного акта</w:t>
            </w:r>
          </w:p>
        </w:tc>
      </w:tr>
      <w:tr w:rsidR="008C7793" w:rsidRPr="008C7793" w:rsidTr="00FC16FA">
        <w:tc>
          <w:tcPr>
            <w:tcW w:w="2410" w:type="dxa"/>
          </w:tcPr>
          <w:p w:rsid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1.</w:t>
            </w:r>
          </w:p>
          <w:p w:rsidR="008C7793" w:rsidRPr="008C7793" w:rsidRDefault="00891CD5" w:rsidP="00FB1E8C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Залишення чинного </w:t>
            </w:r>
            <w:r w:rsidRPr="00891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регулювання.</w:t>
            </w:r>
          </w:p>
        </w:tc>
        <w:tc>
          <w:tcPr>
            <w:tcW w:w="3510" w:type="dxa"/>
            <w:gridSpan w:val="2"/>
          </w:tcPr>
          <w:p w:rsidR="008C7793" w:rsidRPr="008C7793" w:rsidRDefault="002F03DA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дозволить вирішити проблеми, зазначені у розділ 1 аналізу, а також не дозволить досягти цілей </w:t>
            </w:r>
            <w:r w:rsidRPr="002F0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державного регулювання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82" w:type="dxa"/>
            <w:gridSpan w:val="2"/>
          </w:tcPr>
          <w:p w:rsidR="008C7793" w:rsidRPr="008C7793" w:rsidRDefault="002F03DA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Ризики зовнішніх чинників на дію регуляторного акта у разі з</w:t>
            </w:r>
            <w:r w:rsidRPr="002F03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алишення існуючої на даний момент ситуації без змін -</w:t>
            </w:r>
            <w:r w:rsidRPr="002F03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відсутні.</w:t>
            </w:r>
          </w:p>
        </w:tc>
      </w:tr>
      <w:tr w:rsidR="008C7793" w:rsidRPr="008C7793" w:rsidTr="00FC16FA">
        <w:tc>
          <w:tcPr>
            <w:tcW w:w="2410" w:type="dxa"/>
          </w:tcPr>
          <w:p w:rsidR="008C7793" w:rsidRDefault="008C7793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Альтернатива 2.</w:t>
            </w:r>
          </w:p>
          <w:p w:rsidR="00891CD5" w:rsidRPr="00891CD5" w:rsidRDefault="00891CD5" w:rsidP="00891CD5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1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Прийняття постанови Кабінету Міністрів України </w:t>
            </w:r>
            <w:r w:rsidRPr="00891C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«Про затвердження Порядку проведення аукціонів з продажу спеціальних дозволів на користування надрами шляхом електронних торгів, внесення змін та визнання такими, що втратили чинність, деяких постанов Кабінету Міністрів України».</w:t>
            </w:r>
          </w:p>
          <w:p w:rsidR="00891CD5" w:rsidRPr="008C7793" w:rsidRDefault="00891CD5" w:rsidP="001C2091">
            <w:pPr>
              <w:widowControl w:val="0"/>
              <w:tabs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gridSpan w:val="2"/>
          </w:tcPr>
          <w:p w:rsidR="002F03DA" w:rsidRPr="002F03DA" w:rsidRDefault="002F03DA" w:rsidP="002F03DA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Така альтернатива є найбільш оптимальною, оскільки, сприятиме досягненню цілей державного регулювання щодо:</w:t>
            </w:r>
            <w:r w:rsidRPr="002F0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0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забезпечення прав та інтересів суб’єктів господарювання видобувної галузі, ефективного та прозорого регулювання з питань надання спеціальних дозволів на користування надрами, </w:t>
            </w:r>
            <w:r w:rsidRPr="002F03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забезпечить продовження функціювання проведення аукціонів з продажу спеціальних дозволів на користування надрами шляхом електронних торгів</w:t>
            </w:r>
            <w:r w:rsidRPr="002F03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що в свою чергу сприятиме отриманню адміністративних послуг належної якості, а також збільшенню інвестиційної привабливості сфери надрокористування; наближенню законодавства України до Європейського рівня.</w:t>
            </w:r>
          </w:p>
          <w:p w:rsidR="008C7793" w:rsidRPr="008C7793" w:rsidRDefault="008C7793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982" w:type="dxa"/>
            <w:gridSpan w:val="2"/>
          </w:tcPr>
          <w:p w:rsidR="008C7793" w:rsidRPr="008C7793" w:rsidRDefault="002F03DA" w:rsidP="001C2091">
            <w:pPr>
              <w:widowControl w:val="0"/>
              <w:tabs>
                <w:tab w:val="left" w:pos="-3686"/>
                <w:tab w:val="left" w:pos="990"/>
              </w:tabs>
              <w:spacing w:after="120" w:line="240" w:lineRule="auto"/>
              <w:ind w:left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Зовнішні чинники на дію регуляторного акта у разі його прийняття - відсутні.</w:t>
            </w:r>
          </w:p>
        </w:tc>
      </w:tr>
    </w:tbl>
    <w:p w:rsidR="001C2091" w:rsidRDefault="001C2091" w:rsidP="00982CAE">
      <w:pPr>
        <w:widowControl w:val="0"/>
        <w:tabs>
          <w:tab w:val="left" w:pos="-3686"/>
          <w:tab w:val="left" w:pos="99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793" w:rsidRDefault="008C7793" w:rsidP="001C2091">
      <w:pPr>
        <w:widowControl w:val="0"/>
        <w:tabs>
          <w:tab w:val="left" w:pos="-3686"/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Механізм та заходи, які забезпечать розв’язання визначеної проблеми</w:t>
      </w:r>
    </w:p>
    <w:p w:rsidR="00891CD5" w:rsidRPr="00891CD5" w:rsidRDefault="00891CD5" w:rsidP="003E7E78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489262209"/>
      <w:r w:rsidRPr="00891C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розв’язання проблеми, визначеної у пункті 1 цього аналізу регуляторного впливу, передбачається:</w:t>
      </w:r>
    </w:p>
    <w:p w:rsidR="00891CD5" w:rsidRPr="003E7E78" w:rsidRDefault="00891CD5" w:rsidP="003E7E78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проєкт постанови розроблено на виконання вимог статті 16 Кодексу України про надра та за результатами експериментального проекту із запровадження проведення аукціонів з продажу спеціальних дозволів на користування надрами шляхом електронних торгів, що привело до спрощення, прозорості та ефективної процедури продажу спеціальних дозволів на користування надрами шляхом електронних торгів, з метою забезпечення </w:t>
      </w: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продовження функціювання електронних торгів на постійній основі.</w:t>
      </w:r>
    </w:p>
    <w:p w:rsidR="00891CD5" w:rsidRPr="003E7E78" w:rsidRDefault="00891CD5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Порядок, зокрема передбачає:</w:t>
      </w:r>
    </w:p>
    <w:p w:rsidR="00891CD5" w:rsidRPr="003E7E78" w:rsidRDefault="00891CD5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продаж на аукціоні спеціальних дозволів на користування надрами шляхом електронних торгів;</w:t>
      </w:r>
    </w:p>
    <w:p w:rsidR="00891CD5" w:rsidRPr="003E7E78" w:rsidRDefault="00891CD5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заявник проходить процедуру реєстрації та подає заявку для участі в аукціоні шляхом заповнення електронної форми в його особистому кабінеті;</w:t>
      </w:r>
    </w:p>
    <w:p w:rsidR="00891CD5" w:rsidRPr="003E7E78" w:rsidRDefault="00891CD5" w:rsidP="00891CD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використання механізму проведення аукціону з методом покрокового зниження початкової ціни та подальшого подання цінових пропозицій;</w:t>
      </w:r>
    </w:p>
    <w:p w:rsidR="00891CD5" w:rsidRPr="003E7E78" w:rsidRDefault="00891CD5" w:rsidP="00891CD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пропонується надати можливість отримати висновок з оцінки впливу на довкілля, згідно з яким провадження планової діяльності є допустимим, після отримання спеціального дозволу на користування надрами (Держгеонадрами в особливих умовах спецдозволу зазначається необхідність надрокористувача отримати висновок з оцінки впливу на довкілля), що сприятиме залученню іноземних інвестицій та впровадженню сучасних технологій в українське видобування.</w:t>
      </w:r>
    </w:p>
    <w:p w:rsidR="00891CD5" w:rsidRPr="003E7E78" w:rsidRDefault="00891CD5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містить гарантію для суб’єктів господарювання на отримання земельної ділянки, шляхом встановлення вимоги для Держгеонадра та органів місцевого самоврядування затверджувати переліки земельних ділянок державної, комунальної власності, розташованих у межах ділянки надр, що передається в користування переможцю аукціону, конкурсу, і які мають бути передані йому в користування для видобування корисних копалин;</w:t>
      </w:r>
    </w:p>
    <w:p w:rsidR="00891CD5" w:rsidRPr="003E7E78" w:rsidRDefault="00891CD5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спрощено процедуру погодження</w:t>
      </w:r>
      <w:r w:rsidRPr="003E7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пропозицій щодо визначення переліку ділянок надр, дозволи на користування якими виставляються на аукціон.</w:t>
      </w:r>
    </w:p>
    <w:p w:rsidR="00891CD5" w:rsidRPr="003E7E78" w:rsidRDefault="00891CD5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Проєктом акта пропонується також внести зміни до Порядку № 615, зокрема в частині врахування запиту підприємств видобувної галузі, які формують частку економічного потенціалу України, шляхом внесення до переліку підстав отримання спеціального дозволу на користування надрами без проведення аукціону, підстави:</w:t>
      </w:r>
    </w:p>
    <w:p w:rsidR="00891CD5" w:rsidRPr="003E7E78" w:rsidRDefault="00891CD5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разі геологічного вивчення, в тому числі дослідно-промислової розробки або видобування корисних копалин загальнодержавного значення</w:t>
      </w:r>
      <w:r w:rsidRPr="003E7E7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визначених у підрозділах “Сировина вогнетривка”, “Сировина скляна та фарфоро-фаянсова”, “Сировина цементна” розділу “Неметалічні” Переліку корисних копалин загальнодержавного значення, затвердженого постановою Кабінету Міністрів України від 12 грудня 1994 р. № 827 (ЗП України, 1995 р., № 2, ст. 42; Офіційний вісник України, 2012 р., № 1, ст. 25), якщо заявник є власником цілісного майнового комплексу, на якому здійснюється виробництво кінцевої (готової) продукції, придатної для використання за призначенням кінцевим споживачем без додаткової </w:t>
      </w:r>
      <w:r w:rsidR="003E7E78" w:rsidRPr="003E7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промислової обробки (переробки);</w:t>
      </w:r>
    </w:p>
    <w:p w:rsidR="002B66A2" w:rsidRPr="00895CCE" w:rsidRDefault="002B66A2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C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відкритість та прозорість сфери надрокористування; мінімізує суб’єктивни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 під час здійснення дозвільних процедур;</w:t>
      </w:r>
    </w:p>
    <w:p w:rsidR="002B66A2" w:rsidRPr="00895CCE" w:rsidRDefault="002B66A2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конкурентність у сфері надрокористування;</w:t>
      </w:r>
    </w:p>
    <w:p w:rsidR="00B55D37" w:rsidRDefault="002B66A2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CD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 регуляторного навантаження на суб’єктів господарювання</w:t>
      </w:r>
      <w:r w:rsidR="003E7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E78" w:rsidRDefault="003E7E78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DB" w:rsidRDefault="00B016DB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6DB" w:rsidRPr="00E14345" w:rsidRDefault="00B016DB" w:rsidP="00891CD5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6A2" w:rsidRPr="00C62A10" w:rsidRDefault="002B66A2" w:rsidP="001C2091">
      <w:pPr>
        <w:pStyle w:val="a7"/>
        <w:widowControl w:val="0"/>
        <w:numPr>
          <w:ilvl w:val="0"/>
          <w:numId w:val="5"/>
        </w:numPr>
        <w:tabs>
          <w:tab w:val="left" w:pos="9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2A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Організаційні заходи для впровадження регулювання:</w:t>
      </w:r>
    </w:p>
    <w:p w:rsidR="002B66A2" w:rsidRDefault="002B66A2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впровадження цього регуляторного акта необхідно забезпечити інформування надрокористувачів про вимоги регуляторного акта шляхом його оприлюднення у засобах масової інформації та розміщенні на Урядовому порталі.</w:t>
      </w:r>
    </w:p>
    <w:p w:rsidR="002B66A2" w:rsidRPr="00C62A10" w:rsidRDefault="002B66A2" w:rsidP="001C2091">
      <w:pPr>
        <w:pStyle w:val="a7"/>
        <w:widowControl w:val="0"/>
        <w:numPr>
          <w:ilvl w:val="0"/>
          <w:numId w:val="5"/>
        </w:numPr>
        <w:tabs>
          <w:tab w:val="left" w:pos="9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2A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Заходи, які необхідно здійснити суб’єктам господарської діяльності:</w:t>
      </w:r>
    </w:p>
    <w:p w:rsidR="002B66A2" w:rsidRDefault="002B66A2" w:rsidP="001C2091">
      <w:pPr>
        <w:widowControl w:val="0"/>
        <w:numPr>
          <w:ilvl w:val="0"/>
          <w:numId w:val="2"/>
        </w:numPr>
        <w:tabs>
          <w:tab w:val="left" w:pos="990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ознайомитися з вимогами регулювання (пошук та опрацювання регуляторного акту в мережі Інтернет);</w:t>
      </w:r>
    </w:p>
    <w:p w:rsidR="002B66A2" w:rsidRDefault="002B66A2" w:rsidP="001C2091">
      <w:pPr>
        <w:widowControl w:val="0"/>
        <w:numPr>
          <w:ilvl w:val="0"/>
          <w:numId w:val="2"/>
        </w:numPr>
        <w:tabs>
          <w:tab w:val="left" w:pos="990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 вимоги регулювання після прийняття регуляторного акта.</w:t>
      </w:r>
    </w:p>
    <w:p w:rsidR="008C7793" w:rsidRPr="008C7793" w:rsidRDefault="008C7793" w:rsidP="001C2091">
      <w:pPr>
        <w:widowControl w:val="0"/>
        <w:tabs>
          <w:tab w:val="left" w:pos="-3686"/>
          <w:tab w:val="left" w:pos="99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n79"/>
      <w:bookmarkStart w:id="9" w:name="n80"/>
      <w:bookmarkStart w:id="10" w:name="n81"/>
      <w:bookmarkStart w:id="11" w:name="n83"/>
      <w:bookmarkStart w:id="12" w:name="n89"/>
      <w:bookmarkStart w:id="13" w:name="n90"/>
      <w:bookmarkStart w:id="14" w:name="n91"/>
      <w:bookmarkStart w:id="15" w:name="n92"/>
      <w:bookmarkStart w:id="16" w:name="n93"/>
      <w:bookmarkStart w:id="17" w:name="n94"/>
      <w:bookmarkStart w:id="18" w:name="n95"/>
      <w:bookmarkStart w:id="19" w:name="n97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 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B55D37" w:rsidRPr="00B55D37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:rsidR="00B55D37" w:rsidRPr="00B55D37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B55D37" w:rsidRPr="00B55D37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розрахунок витрат на одного суб’єкта господарювання великого і середнього підприємництва в межах даного аналізу.</w:t>
      </w:r>
    </w:p>
    <w:p w:rsidR="00B55D37" w:rsidRPr="00B55D37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розрахунок витрат суб’єктів малого (мікро) підприємництва в межах даного аналізу.</w:t>
      </w:r>
    </w:p>
    <w:p w:rsidR="00B55D37" w:rsidRPr="00B55D37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та оприлюднення постанови в установленому порядку забезпечить доведення її вимог до суб’єктів господарювання, центральних та місцевих органів виконавчої влади і органів місцевого самоврядування.</w:t>
      </w:r>
    </w:p>
    <w:p w:rsidR="00B55D37" w:rsidRPr="00B55D37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 цілей не передбачає додаткових організаційних заходів.</w:t>
      </w:r>
    </w:p>
    <w:p w:rsidR="00B55D37" w:rsidRPr="00B55D37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постанови не призведе до неочікуваних результатів і не потребуватиме додаткових витрат з Державного бюджету.</w:t>
      </w:r>
    </w:p>
    <w:p w:rsidR="00B55D37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Можлива шкода у разі очікуваних наслідків дії акта не прогнозується.</w:t>
      </w:r>
    </w:p>
    <w:p w:rsidR="00B55D37" w:rsidRDefault="00B55D37" w:rsidP="00B55D37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793" w:rsidRPr="008C7793" w:rsidRDefault="008C7793" w:rsidP="00B55D37">
      <w:pPr>
        <w:widowControl w:val="0"/>
        <w:tabs>
          <w:tab w:val="left" w:pos="990"/>
        </w:tabs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 Обґрунтування запропонованого строку дії регуляторного акта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Строк дії цього регуляторного акта встановлюється на необмежений термін, оскільки він регулює відносини, які мають пролонгований характер. Зміна строку дії регуляторного акта можлива в разі зміни міжнародно-правових актів чи законодавчих актів України вищої юридичної сили на виконання яких розроблений цей проект регуляторного акта. 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ru-RU" w:eastAsia="ja-JP"/>
        </w:rPr>
      </w:pP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>Термін набрання чинності регуляторним актом – з дня його офіційного оприлюднення.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 Визначення показників результативності дії регуляторного акта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Прогнозними значеннями показників результативності регуляторного акта є: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 Розмір надходжень до державного та місцевих бюджетів і державних цільових фондів, пов’язаних із дією акта  – не передбачаються. 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Кількість суб’єктів господарювання: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 господарювання великого і середнього підприємництва – 526;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суб’єктів господарювання малого та мікро підприємництва – 2326.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Розмір коштів і час, які витрачаються суб’єктами господарювання у зв’язку із виконанням вимог акта – низький.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Розмір коштів, які витрачатимуться суб’єктом господарювання у зв’язку із виконанням вимог акта:</w:t>
      </w:r>
    </w:p>
    <w:p w:rsidR="008C7793" w:rsidRPr="003E7E78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одного суб’єкта господарювання великого і середнього підприємництва:</w:t>
      </w:r>
      <w:r w:rsidRPr="003E7E78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</w:t>
      </w:r>
      <w:r w:rsidR="00982CAE" w:rsidRPr="003E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14,16 </w:t>
      </w:r>
      <w:r w:rsidRPr="003E7E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одного суб’єкта господарювання малого та мікро підприємництва: </w:t>
      </w:r>
      <w:r w:rsidR="00982CAE" w:rsidRPr="003E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14,16 </w:t>
      </w:r>
      <w:r w:rsidRPr="003E7E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</w:p>
    <w:p w:rsidR="008C7793" w:rsidRPr="008C7793" w:rsidRDefault="008C7793" w:rsidP="001C2091">
      <w:pPr>
        <w:widowControl w:val="0"/>
        <w:numPr>
          <w:ilvl w:val="0"/>
          <w:numId w:val="4"/>
        </w:numPr>
        <w:tabs>
          <w:tab w:val="left" w:pos="990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часу, який витрачатиметься суб’єктом господарювання у зв’язку із виконанням вимог акта:</w:t>
      </w:r>
    </w:p>
    <w:p w:rsidR="008C7793" w:rsidRPr="008C7793" w:rsidRDefault="008C7793" w:rsidP="001C209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одного суб’єкта господарювання великого і середнього підприємництва: 0,5 год.</w:t>
      </w:r>
    </w:p>
    <w:p w:rsidR="008C7793" w:rsidRPr="008C7793" w:rsidRDefault="008C7793" w:rsidP="001C209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одного суб’єкта господарювання малого та мікро підприємництва: 0,5 год.</w:t>
      </w:r>
    </w:p>
    <w:p w:rsidR="008C7793" w:rsidRPr="008C7793" w:rsidRDefault="008C7793" w:rsidP="001C209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Рівень поінформованості суб’єктів господарювання і фізичних осіб – високий. Проект акта та відповідний аналіз регуляторного впливу оприлюднено на офіційному веб-сайті Державної служби геології та надр України.</w:t>
      </w:r>
    </w:p>
    <w:p w:rsidR="008C7793" w:rsidRPr="008C7793" w:rsidRDefault="008C7793" w:rsidP="001C209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Додатковими показниками результативності запровадження регуляторного акта, виходячи з його цілей, слугуватимуть: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Кількість оголошених аукціонів з продажу спеціальних дозволів на користування надрами шляхом електронних торгів;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2.Кількість лотів, запропонованих до продажу на електронних аукціонах;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Кількість лотів, реалізованих на електронних аукціонах;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Приріст ціни продажу(у порівнянні зі стартовою) у відсотках;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Кількість оголошених повторних аукціонів;</w:t>
      </w:r>
    </w:p>
    <w:p w:rsidR="008C7793" w:rsidRPr="008C7793" w:rsidRDefault="00BD27AD" w:rsidP="00BD27AD">
      <w:pPr>
        <w:widowControl w:val="0"/>
        <w:tabs>
          <w:tab w:val="left" w:pos="993"/>
          <w:tab w:val="left" w:pos="1134"/>
          <w:tab w:val="left" w:pos="1276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8C7793"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Кількість електронних аукціонів (у тому числі скасованих, відмінених);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Розмір надходжень до бюджетів, пов'язаних з дією акта;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Кількість зареєстрованих учасників торгів;</w:t>
      </w:r>
    </w:p>
    <w:p w:rsidR="008C7793" w:rsidRDefault="008C779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Кількість іноземних юридичних осіб, які взяли участь в електронних торгах.</w:t>
      </w:r>
    </w:p>
    <w:p w:rsidR="00A96EA3" w:rsidRPr="008C7793" w:rsidRDefault="00A96EA3" w:rsidP="001C2091">
      <w:pPr>
        <w:widowControl w:val="0"/>
        <w:tabs>
          <w:tab w:val="left" w:pos="990"/>
        </w:tabs>
        <w:spacing w:after="120" w:line="240" w:lineRule="auto"/>
        <w:ind w:left="270"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793" w:rsidRPr="008C7793" w:rsidRDefault="008C7793" w:rsidP="001C2091">
      <w:pPr>
        <w:widowControl w:val="0"/>
        <w:tabs>
          <w:tab w:val="left" w:pos="990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IX. Визначення заходів, за допомогою яких здійснюватиметься відстеження результативності дії регуляторного акта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Відстеження результативності регуляторного акта здійснюватиметься шляхом проведення базового, повторного та періодичного відстеження статистичних показників результативності акта, визначених під час проведення аналізу впливу регуляторного акта. 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Базове відстеження результативності цього регуляторного акта здійснюватиметься </w:t>
      </w:r>
      <w:r w:rsidR="00982C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через рік </w:t>
      </w: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після набрання ним чинності, оскільки для цього використовуватимуться виключно статистичні показники. 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Повторне відстеження результативності регуляторного акта здійснюватиметься через </w:t>
      </w:r>
      <w:r w:rsidR="00982CAE">
        <w:rPr>
          <w:rFonts w:ascii="Times New Roman" w:eastAsia="MS Mincho" w:hAnsi="Times New Roman" w:cs="Times New Roman"/>
          <w:sz w:val="28"/>
          <w:szCs w:val="28"/>
          <w:lang w:eastAsia="ja-JP"/>
        </w:rPr>
        <w:t>два роки</w:t>
      </w: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 дня набрання </w:t>
      </w:r>
      <w:r w:rsidR="00982CAE">
        <w:rPr>
          <w:rFonts w:ascii="Times New Roman" w:eastAsia="MS Mincho" w:hAnsi="Times New Roman" w:cs="Times New Roman"/>
          <w:sz w:val="28"/>
          <w:szCs w:val="28"/>
          <w:lang w:eastAsia="ja-JP"/>
        </w:rPr>
        <w:t>чинності цим регуляторним актом</w:t>
      </w: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>. За результатами даного відстеження відбудеться порівняння показників базового та повторного відстеження.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>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акта.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>Вид даних, за допомогою яких здійснюватиметься відстеження результативності – статистичні.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:rsidR="008C7793" w:rsidRPr="008C7793" w:rsidRDefault="008C7793" w:rsidP="001C2091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C77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Відстеження результативності регуляторного акта буде здійснювати Державна служба геології та надр України протягом усього терміну його дії. </w:t>
      </w:r>
    </w:p>
    <w:p w:rsidR="008C7793" w:rsidRDefault="008C7793" w:rsidP="001C2091">
      <w:pPr>
        <w:widowControl w:val="0"/>
        <w:tabs>
          <w:tab w:val="left" w:pos="990"/>
        </w:tabs>
        <w:spacing w:after="0" w:line="240" w:lineRule="auto"/>
        <w:ind w:left="272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97269" w:rsidRPr="008C7793" w:rsidRDefault="00E97269" w:rsidP="001C2091">
      <w:pPr>
        <w:widowControl w:val="0"/>
        <w:tabs>
          <w:tab w:val="left" w:pos="990"/>
        </w:tabs>
        <w:spacing w:after="0" w:line="240" w:lineRule="auto"/>
        <w:ind w:left="272"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C7793" w:rsidRPr="008C7793" w:rsidRDefault="008C7793" w:rsidP="001C2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Голова </w:t>
      </w: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Державної служби </w:t>
      </w:r>
    </w:p>
    <w:p w:rsidR="008C7793" w:rsidRPr="008C7793" w:rsidRDefault="008C7793" w:rsidP="001C2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геології та надр України</w:t>
      </w:r>
      <w:r w:rsidRPr="008C779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</w:t>
      </w:r>
      <w:r w:rsidR="0098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98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оман</w:t>
      </w:r>
      <w:r w:rsidRPr="008C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ОПІМАХ</w:t>
      </w:r>
    </w:p>
    <w:p w:rsidR="008C7793" w:rsidRPr="008C7793" w:rsidRDefault="008C7793" w:rsidP="001C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C7793" w:rsidRPr="008C7793" w:rsidRDefault="008C7793" w:rsidP="001C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C77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«___» «______» 20</w:t>
      </w:r>
      <w:r w:rsidR="00CE19A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</w:t>
      </w:r>
      <w:r w:rsidRPr="008C77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р.</w:t>
      </w:r>
    </w:p>
    <w:p w:rsidR="00555C77" w:rsidRDefault="00A64E07" w:rsidP="001C2091">
      <w:pPr>
        <w:spacing w:line="240" w:lineRule="auto"/>
      </w:pPr>
    </w:p>
    <w:sectPr w:rsidR="00555C77" w:rsidSect="00E2340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C39" w:rsidRDefault="00134C39">
      <w:pPr>
        <w:spacing w:after="0" w:line="240" w:lineRule="auto"/>
      </w:pPr>
      <w:r>
        <w:separator/>
      </w:r>
    </w:p>
  </w:endnote>
  <w:endnote w:type="continuationSeparator" w:id="0">
    <w:p w:rsidR="00134C39" w:rsidRDefault="0013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C39" w:rsidRDefault="00134C39">
      <w:pPr>
        <w:spacing w:after="0" w:line="240" w:lineRule="auto"/>
      </w:pPr>
      <w:r>
        <w:separator/>
      </w:r>
    </w:p>
  </w:footnote>
  <w:footnote w:type="continuationSeparator" w:id="0">
    <w:p w:rsidR="00134C39" w:rsidRDefault="0013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9B8" w:rsidRDefault="004A144C" w:rsidP="00DA1B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609B8" w:rsidRDefault="00A64E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9B8" w:rsidRPr="003F69CE" w:rsidRDefault="004A144C" w:rsidP="003F69CE">
    <w:pPr>
      <w:pStyle w:val="a3"/>
      <w:framePr w:wrap="around" w:vAnchor="text" w:hAnchor="page" w:x="6099" w:y="-123"/>
      <w:rPr>
        <w:rStyle w:val="a5"/>
        <w:sz w:val="28"/>
        <w:szCs w:val="28"/>
      </w:rPr>
    </w:pPr>
    <w:r w:rsidRPr="003F69CE">
      <w:rPr>
        <w:rStyle w:val="a5"/>
        <w:sz w:val="28"/>
        <w:szCs w:val="28"/>
      </w:rPr>
      <w:fldChar w:fldCharType="begin"/>
    </w:r>
    <w:r w:rsidRPr="003F69CE">
      <w:rPr>
        <w:rStyle w:val="a5"/>
        <w:sz w:val="28"/>
        <w:szCs w:val="28"/>
      </w:rPr>
      <w:instrText xml:space="preserve">PAGE  </w:instrText>
    </w:r>
    <w:r w:rsidRPr="003F69CE">
      <w:rPr>
        <w:rStyle w:val="a5"/>
        <w:sz w:val="28"/>
        <w:szCs w:val="28"/>
      </w:rPr>
      <w:fldChar w:fldCharType="separate"/>
    </w:r>
    <w:r w:rsidR="00A64E07">
      <w:rPr>
        <w:rStyle w:val="a5"/>
        <w:noProof/>
        <w:sz w:val="28"/>
        <w:szCs w:val="28"/>
      </w:rPr>
      <w:t>17</w:t>
    </w:r>
    <w:r w:rsidRPr="003F69CE">
      <w:rPr>
        <w:rStyle w:val="a5"/>
        <w:sz w:val="28"/>
        <w:szCs w:val="28"/>
      </w:rPr>
      <w:fldChar w:fldCharType="end"/>
    </w:r>
  </w:p>
  <w:p w:rsidR="001609B8" w:rsidRPr="00A739E9" w:rsidRDefault="00A64E07" w:rsidP="00A739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06D"/>
    <w:multiLevelType w:val="multilevel"/>
    <w:tmpl w:val="0A301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686337"/>
    <w:multiLevelType w:val="hybridMultilevel"/>
    <w:tmpl w:val="11B0E9C4"/>
    <w:lvl w:ilvl="0" w:tplc="148E0592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5857454C"/>
    <w:multiLevelType w:val="hybridMultilevel"/>
    <w:tmpl w:val="B69ADF76"/>
    <w:lvl w:ilvl="0" w:tplc="DD9E7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1826547"/>
    <w:multiLevelType w:val="hybridMultilevel"/>
    <w:tmpl w:val="F2183298"/>
    <w:lvl w:ilvl="0" w:tplc="C9264720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F4"/>
    <w:rsid w:val="00093580"/>
    <w:rsid w:val="000E106E"/>
    <w:rsid w:val="000E4382"/>
    <w:rsid w:val="00110270"/>
    <w:rsid w:val="001332FD"/>
    <w:rsid w:val="00134C39"/>
    <w:rsid w:val="00185EDA"/>
    <w:rsid w:val="001B4139"/>
    <w:rsid w:val="001C05CB"/>
    <w:rsid w:val="001C2091"/>
    <w:rsid w:val="001C79B6"/>
    <w:rsid w:val="001E5954"/>
    <w:rsid w:val="0024556B"/>
    <w:rsid w:val="0027622C"/>
    <w:rsid w:val="00276AC8"/>
    <w:rsid w:val="00286EEE"/>
    <w:rsid w:val="002B5B98"/>
    <w:rsid w:val="002B66A2"/>
    <w:rsid w:val="002F03DA"/>
    <w:rsid w:val="00302A62"/>
    <w:rsid w:val="00351129"/>
    <w:rsid w:val="003A1AA6"/>
    <w:rsid w:val="003A7035"/>
    <w:rsid w:val="003B29AD"/>
    <w:rsid w:val="003B6767"/>
    <w:rsid w:val="003E7E78"/>
    <w:rsid w:val="004A144C"/>
    <w:rsid w:val="004A6A63"/>
    <w:rsid w:val="004D413E"/>
    <w:rsid w:val="004E62DB"/>
    <w:rsid w:val="0058780F"/>
    <w:rsid w:val="006A0C72"/>
    <w:rsid w:val="0072417F"/>
    <w:rsid w:val="007870F9"/>
    <w:rsid w:val="007B5267"/>
    <w:rsid w:val="007C7BA6"/>
    <w:rsid w:val="007D2E7B"/>
    <w:rsid w:val="00891CD5"/>
    <w:rsid w:val="008A1C38"/>
    <w:rsid w:val="008B546E"/>
    <w:rsid w:val="008C2559"/>
    <w:rsid w:val="008C7793"/>
    <w:rsid w:val="008E01A4"/>
    <w:rsid w:val="008F3AF4"/>
    <w:rsid w:val="00936C4D"/>
    <w:rsid w:val="00947BD2"/>
    <w:rsid w:val="00966EB1"/>
    <w:rsid w:val="00982CAE"/>
    <w:rsid w:val="009B482A"/>
    <w:rsid w:val="009C23CD"/>
    <w:rsid w:val="00A04D77"/>
    <w:rsid w:val="00A64E07"/>
    <w:rsid w:val="00A72726"/>
    <w:rsid w:val="00A85056"/>
    <w:rsid w:val="00A96EA3"/>
    <w:rsid w:val="00AB4D85"/>
    <w:rsid w:val="00AC418D"/>
    <w:rsid w:val="00AF6E01"/>
    <w:rsid w:val="00B016DB"/>
    <w:rsid w:val="00B375CB"/>
    <w:rsid w:val="00B55D37"/>
    <w:rsid w:val="00B71446"/>
    <w:rsid w:val="00B76536"/>
    <w:rsid w:val="00BC0EAB"/>
    <w:rsid w:val="00BC64F9"/>
    <w:rsid w:val="00BD27AD"/>
    <w:rsid w:val="00C36E10"/>
    <w:rsid w:val="00C86108"/>
    <w:rsid w:val="00CE19A0"/>
    <w:rsid w:val="00D1256E"/>
    <w:rsid w:val="00E17444"/>
    <w:rsid w:val="00E5772B"/>
    <w:rsid w:val="00E87337"/>
    <w:rsid w:val="00E97269"/>
    <w:rsid w:val="00F4130A"/>
    <w:rsid w:val="00F50095"/>
    <w:rsid w:val="00F9414C"/>
    <w:rsid w:val="00FA5493"/>
    <w:rsid w:val="00FB1E8C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E5C8C-7983-4234-BEEA-AD1E553E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7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793"/>
  </w:style>
  <w:style w:type="character" w:styleId="a5">
    <w:name w:val="page number"/>
    <w:basedOn w:val="a0"/>
    <w:rsid w:val="008C7793"/>
  </w:style>
  <w:style w:type="character" w:styleId="a6">
    <w:name w:val="Hyperlink"/>
    <w:basedOn w:val="a0"/>
    <w:uiPriority w:val="99"/>
    <w:semiHidden/>
    <w:unhideWhenUsed/>
    <w:rsid w:val="00E174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66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17</Pages>
  <Words>18512</Words>
  <Characters>10553</Characters>
  <Application>Microsoft Office Word</Application>
  <DocSecurity>0</DocSecurity>
  <Lines>87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Negoda</dc:creator>
  <cp:keywords/>
  <dc:description/>
  <cp:lastModifiedBy>T Lytvynova</cp:lastModifiedBy>
  <cp:revision>58</cp:revision>
  <cp:lastPrinted>2020-02-04T08:24:00Z</cp:lastPrinted>
  <dcterms:created xsi:type="dcterms:W3CDTF">2020-02-04T08:19:00Z</dcterms:created>
  <dcterms:modified xsi:type="dcterms:W3CDTF">2020-06-02T07:27:00Z</dcterms:modified>
</cp:coreProperties>
</file>