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75" w:rsidRPr="00C04068" w:rsidRDefault="00194175" w:rsidP="00000453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spacing w:val="0"/>
          <w:sz w:val="26"/>
          <w:szCs w:val="26"/>
        </w:rPr>
        <w:t xml:space="preserve">АНАЛІЗ РЕГУЛЯТОРНОГО ВПЛИВУ </w:t>
      </w:r>
    </w:p>
    <w:p w:rsidR="00194175" w:rsidRPr="00C04068" w:rsidRDefault="00194175" w:rsidP="00000453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spacing w:val="0"/>
          <w:sz w:val="26"/>
          <w:szCs w:val="26"/>
        </w:rPr>
        <w:t xml:space="preserve">до </w:t>
      </w:r>
      <w:proofErr w:type="spellStart"/>
      <w:r w:rsidRPr="00C04068">
        <w:rPr>
          <w:rFonts w:ascii="Times New Roman" w:hAnsi="Times New Roman" w:cs="Times New Roman"/>
          <w:spacing w:val="0"/>
          <w:sz w:val="26"/>
          <w:szCs w:val="26"/>
        </w:rPr>
        <w:t>проєкту</w:t>
      </w:r>
      <w:proofErr w:type="spellEnd"/>
      <w:r w:rsidRPr="00C04068">
        <w:rPr>
          <w:rFonts w:ascii="Times New Roman" w:hAnsi="Times New Roman" w:cs="Times New Roman"/>
          <w:spacing w:val="0"/>
          <w:sz w:val="26"/>
          <w:szCs w:val="26"/>
        </w:rPr>
        <w:t xml:space="preserve"> наказу Міністерства захисту довкілля та природних ресурсів України </w:t>
      </w:r>
      <w:r w:rsidR="00833283" w:rsidRPr="00C04068">
        <w:rPr>
          <w:rFonts w:ascii="Times New Roman" w:hAnsi="Times New Roman" w:cs="Times New Roman"/>
          <w:spacing w:val="0"/>
          <w:sz w:val="26"/>
          <w:szCs w:val="26"/>
        </w:rPr>
        <w:t>«Про затвердження Змін до Порядку державної реєстрації робіт і досліджень, пов’язаних із геологічним вивченням надр»</w:t>
      </w:r>
    </w:p>
    <w:p w:rsidR="00194175" w:rsidRPr="00C04068" w:rsidRDefault="00194175" w:rsidP="00000453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C04068" w:rsidRDefault="00194175" w:rsidP="00000453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spacing w:val="0"/>
          <w:sz w:val="26"/>
          <w:szCs w:val="26"/>
        </w:rPr>
        <w:t>І. Визначення проблеми</w:t>
      </w:r>
    </w:p>
    <w:p w:rsidR="00194175" w:rsidRPr="00C04068" w:rsidRDefault="00194175" w:rsidP="00000453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833283" w:rsidRPr="00C04068" w:rsidRDefault="00833283" w:rsidP="00000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Наказом Міністерства екології та природних ресурсів України від 14.06.2013  </w:t>
      </w:r>
      <w:r w:rsidR="00952F5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</w:t>
      </w: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№ 263, зареєстрованим в Міністерстві юстиції України 10.07.2013 за № 1157/23689, затверджено Порядок державної реєстрації робіт і досліджень, пов’язаних із геологічним вивченням надр (далі – Порядок № 263).</w:t>
      </w:r>
    </w:p>
    <w:p w:rsidR="00833283" w:rsidRPr="00C04068" w:rsidRDefault="00833283" w:rsidP="00000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Прийняття наказу дає змогу застосування єдиної процедури державної реєстрації робіт і досліджень, пов’язаних із геологічним вивченням надр (далі - РДГВН), з метою запобігання їх дублюванню при подальшому вивченні геологічної будови надр, виявленні та оцінці запасів і якості корисних копалин, дослідженні екологічного стану геологічного середовища, з'ясуванні гірничотехнічних, гідрогеологічних та інших умов розробки родовищ корисних копалин і використання надр для цілей, не пов'язаних з видобуванням корисних копалин. </w:t>
      </w:r>
    </w:p>
    <w:p w:rsidR="00194175" w:rsidRPr="00C04068" w:rsidRDefault="00833283" w:rsidP="00000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Однак в ході практичної реалізації Порядку № 263 виникли проблемні питання, які потребують удосконалення.</w:t>
      </w:r>
      <w:r w:rsidR="00194175" w:rsidRPr="00C040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952F54">
        <w:rPr>
          <w:rFonts w:ascii="Times New Roman" w:hAnsi="Times New Roman" w:cs="Times New Roman"/>
          <w:sz w:val="26"/>
          <w:szCs w:val="26"/>
        </w:rPr>
        <w:t xml:space="preserve">Відповідно до пункту 1.4 розділу І Порядку </w:t>
      </w:r>
      <w:r w:rsidR="00D033F5">
        <w:rPr>
          <w:rFonts w:ascii="Times New Roman" w:hAnsi="Times New Roman" w:cs="Times New Roman"/>
          <w:sz w:val="26"/>
          <w:szCs w:val="26"/>
        </w:rPr>
        <w:t>№</w:t>
      </w:r>
      <w:r w:rsidR="000A0CBC">
        <w:rPr>
          <w:rFonts w:ascii="Times New Roman" w:hAnsi="Times New Roman" w:cs="Times New Roman"/>
          <w:sz w:val="26"/>
          <w:szCs w:val="26"/>
        </w:rPr>
        <w:t xml:space="preserve"> 263</w:t>
      </w:r>
      <w:r w:rsidR="00D033F5">
        <w:rPr>
          <w:rFonts w:ascii="Times New Roman" w:hAnsi="Times New Roman" w:cs="Times New Roman"/>
          <w:sz w:val="26"/>
          <w:szCs w:val="26"/>
        </w:rPr>
        <w:t xml:space="preserve"> </w:t>
      </w:r>
      <w:r w:rsidR="00606DAB" w:rsidRPr="00606DAB">
        <w:rPr>
          <w:rFonts w:ascii="Times New Roman" w:hAnsi="Times New Roman" w:cs="Times New Roman"/>
          <w:sz w:val="26"/>
          <w:szCs w:val="26"/>
        </w:rPr>
        <w:t xml:space="preserve">державна реєстрація </w:t>
      </w:r>
      <w:r w:rsidR="00D033F5">
        <w:rPr>
          <w:rFonts w:ascii="Times New Roman" w:hAnsi="Times New Roman" w:cs="Times New Roman"/>
          <w:sz w:val="26"/>
          <w:szCs w:val="26"/>
        </w:rPr>
        <w:t>РДГВН</w:t>
      </w:r>
      <w:r w:rsidRPr="00952F54">
        <w:rPr>
          <w:rFonts w:ascii="Times New Roman" w:hAnsi="Times New Roman" w:cs="Times New Roman"/>
          <w:sz w:val="26"/>
          <w:szCs w:val="26"/>
        </w:rPr>
        <w:t xml:space="preserve"> проводиться на основі діючого спеціального </w:t>
      </w:r>
      <w:r>
        <w:rPr>
          <w:rFonts w:ascii="Times New Roman" w:hAnsi="Times New Roman" w:cs="Times New Roman"/>
          <w:sz w:val="26"/>
          <w:szCs w:val="26"/>
        </w:rPr>
        <w:t>дозволу на користування надрами</w:t>
      </w:r>
      <w:r w:rsidRPr="00952F54">
        <w:rPr>
          <w:rFonts w:ascii="Times New Roman" w:hAnsi="Times New Roman" w:cs="Times New Roman"/>
          <w:sz w:val="26"/>
          <w:szCs w:val="26"/>
        </w:rPr>
        <w:t xml:space="preserve"> або затвердженого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Держгеонадрами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в установленому порядку пооб’єктного плану геологорозвідувальних робіт виконавця РДГВН. 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Натомість, підпунктом 2 пункту 8 Порядку надання спеціальних дозволів на користування надрами, затвердженого постановою Кабінету Міністрів України від 30 травня 2011 року № 615 (в редакції постанови Кабінету Міністрів України від 19 лютого 2020 року № 124) (далі – Порядок № 615), передбачено, що без проведення аукціону дозвіл надається у разі одноразового розширення меж не більш як на 50 відсотків раніше наданої у користування площі ділянки надр з метою її геологічного вивчення, геологічного вивчення, у тому числі дослідно-промислової розробки (включаючи ділянки надр, надані з метою видобування, геологічного вивчення, у тому числі дослідно-промислової розробки, з подальшим видобуванням нафти і газу (промислова розробка) за умови, що просторові межі перспективних покладів, виявлених у процесі геологічного вивчення, виходять за межі ділянки надр, наданої у користування, та підтверджені відповідними протоколами ДКЗ), розміщення підземних сховищ, а також збільшення обсягу видобування корисних копалин за рахунок розширення меж ділянки, але не більш як на 50 відсотків запасів, визначених раніше наданим дозволом, за умови, що суміжну ділянку не надано у користування та/або не виставлено на аукціон.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 xml:space="preserve">Таким чином,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, отримавши спеціальний дозвіл на видобування корисних копалин, має право одноразово розширити межі площі ділянки </w:t>
      </w:r>
      <w:r w:rsidR="00D033F5">
        <w:rPr>
          <w:rFonts w:ascii="Times New Roman" w:hAnsi="Times New Roman" w:cs="Times New Roman"/>
          <w:sz w:val="26"/>
          <w:szCs w:val="26"/>
        </w:rPr>
        <w:t xml:space="preserve">надр </w:t>
      </w:r>
      <w:r w:rsidRPr="00952F54">
        <w:rPr>
          <w:rFonts w:ascii="Times New Roman" w:hAnsi="Times New Roman" w:cs="Times New Roman"/>
          <w:sz w:val="26"/>
          <w:szCs w:val="26"/>
        </w:rPr>
        <w:t>на 50 відсотків, але не більш ніж на 50 відсотків запасів, визначених раніше наданим дозволом.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Процедура розширення меж площі ділянки надр є наступною: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</w:t>
      </w:r>
      <w:r w:rsidR="001771C9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отримує у ДКЗ новий протокол на всю площу ділянки надр (з урахуванням розширених меж та збільшених запасів).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реєструє форму № 3-гр відповідно до Порядку № 263.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подає до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Держгеонадр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зареєстровану форму № 3-гр та новий протокол ДКЗ разом із пакетом документів, визн</w:t>
      </w:r>
      <w:r w:rsidR="00B07A27">
        <w:rPr>
          <w:rFonts w:ascii="Times New Roman" w:hAnsi="Times New Roman" w:cs="Times New Roman"/>
          <w:sz w:val="26"/>
          <w:szCs w:val="26"/>
        </w:rPr>
        <w:t xml:space="preserve">аченим </w:t>
      </w:r>
      <w:r w:rsidR="00A17A11">
        <w:rPr>
          <w:rFonts w:ascii="Times New Roman" w:hAnsi="Times New Roman" w:cs="Times New Roman"/>
          <w:sz w:val="26"/>
          <w:szCs w:val="26"/>
        </w:rPr>
        <w:t>Порядком</w:t>
      </w:r>
      <w:r w:rsidR="00B07A27">
        <w:rPr>
          <w:rFonts w:ascii="Times New Roman" w:hAnsi="Times New Roman" w:cs="Times New Roman"/>
          <w:sz w:val="26"/>
          <w:szCs w:val="26"/>
        </w:rPr>
        <w:t xml:space="preserve"> </w:t>
      </w:r>
      <w:r w:rsidRPr="00952F54">
        <w:rPr>
          <w:rFonts w:ascii="Times New Roman" w:hAnsi="Times New Roman" w:cs="Times New Roman"/>
          <w:sz w:val="26"/>
          <w:szCs w:val="26"/>
        </w:rPr>
        <w:t>№ 615.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Проблема полягає в тому, що протокол ДКЗ неможливо отримати без зареєстрованої форми № 3-гр.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Натомість, відповідно до Порядку № 263 форму № 3-гр неможливо зареєструвати на «збільшену» площу ділянки надр, а лише на площу в межах спеціального дозволу.</w:t>
      </w:r>
    </w:p>
    <w:p w:rsidR="00833283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Таким чином, через законодавчу прогалину механізм реалізації процедури розширення площі ділянки надр на практиці є заблокованим.</w:t>
      </w:r>
    </w:p>
    <w:p w:rsidR="00CB72AD" w:rsidRDefault="00A17A11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B72AD">
        <w:rPr>
          <w:rFonts w:ascii="Times New Roman" w:hAnsi="Times New Roman" w:cs="Times New Roman"/>
          <w:sz w:val="26"/>
          <w:szCs w:val="26"/>
        </w:rPr>
        <w:t xml:space="preserve">апропоновані </w:t>
      </w:r>
      <w:proofErr w:type="spellStart"/>
      <w:r w:rsidR="00CB72AD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="00CB72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2AD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="00CB72AD">
        <w:rPr>
          <w:rFonts w:ascii="Times New Roman" w:hAnsi="Times New Roman" w:cs="Times New Roman"/>
          <w:sz w:val="26"/>
          <w:szCs w:val="26"/>
        </w:rPr>
        <w:t xml:space="preserve"> зміни до пункту 1.4 </w:t>
      </w:r>
      <w:r w:rsidR="00CB72AD" w:rsidRPr="00CB72AD">
        <w:rPr>
          <w:rFonts w:ascii="Times New Roman" w:hAnsi="Times New Roman" w:cs="Times New Roman"/>
          <w:sz w:val="26"/>
          <w:szCs w:val="26"/>
        </w:rPr>
        <w:t>розділу І Порядку № 263</w:t>
      </w:r>
      <w:r w:rsidR="00CB72AD">
        <w:rPr>
          <w:rFonts w:ascii="Times New Roman" w:hAnsi="Times New Roman" w:cs="Times New Roman"/>
          <w:sz w:val="26"/>
          <w:szCs w:val="26"/>
        </w:rPr>
        <w:t xml:space="preserve"> дозволять належним чином реалізувати права </w:t>
      </w:r>
      <w:proofErr w:type="spellStart"/>
      <w:r w:rsidR="00CB72AD">
        <w:rPr>
          <w:rFonts w:ascii="Times New Roman" w:hAnsi="Times New Roman" w:cs="Times New Roman"/>
          <w:sz w:val="26"/>
          <w:szCs w:val="26"/>
        </w:rPr>
        <w:t>надрокористувачів</w:t>
      </w:r>
      <w:proofErr w:type="spellEnd"/>
      <w:r w:rsidR="00CB72AD">
        <w:rPr>
          <w:rFonts w:ascii="Times New Roman" w:hAnsi="Times New Roman" w:cs="Times New Roman"/>
          <w:sz w:val="26"/>
          <w:szCs w:val="26"/>
        </w:rPr>
        <w:t xml:space="preserve"> щодо </w:t>
      </w:r>
      <w:r w:rsidR="00CB72AD" w:rsidRPr="00CB72AD">
        <w:rPr>
          <w:rFonts w:ascii="Times New Roman" w:hAnsi="Times New Roman" w:cs="Times New Roman"/>
          <w:sz w:val="26"/>
          <w:szCs w:val="26"/>
        </w:rPr>
        <w:t>одноразового розширення меж не більш як на 50 відсотків раніше наданої у користування площі ділянки надр з метою її геологічного вивчення, геологічного вивчення, у тому числі дослідно-промислової розробки (включаючи ділянки надр, надані з метою видобування, геологічного вивчення, у тому числі дослідно-промислової розробки, з подальшим видобуванням нафти і газу (промислова розробка) за умови, що просторові межі перспективних покладів, виявлених у процесі геологічного вивчення, виходять за межі ділянки надр, наданої у користування, та підтверджені відповідними протоколами ДКЗ), розміщення підземних сховищ, а також збільшення обсягу видобування корисних копалин за рахунок розширення меж ділянки, але не більш як на 50 відсотків запасів, визначених раніше наданим дозволом, за умови, що суміжну ділянку не надано у користування та/або не виставлено на аукціон</w:t>
      </w:r>
      <w:r w:rsidR="00CB72AD">
        <w:rPr>
          <w:rFonts w:ascii="Times New Roman" w:hAnsi="Times New Roman" w:cs="Times New Roman"/>
          <w:sz w:val="26"/>
          <w:szCs w:val="26"/>
        </w:rPr>
        <w:t>.</w:t>
      </w:r>
    </w:p>
    <w:p w:rsidR="00CB72AD" w:rsidRDefault="00CB72AD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Окрім того,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A77">
        <w:rPr>
          <w:rFonts w:ascii="Times New Roman" w:hAnsi="Times New Roman" w:cs="Times New Roman"/>
          <w:sz w:val="26"/>
          <w:szCs w:val="26"/>
        </w:rPr>
        <w:t xml:space="preserve">пропонується </w:t>
      </w:r>
      <w:proofErr w:type="spellStart"/>
      <w:r w:rsidR="00215A77">
        <w:rPr>
          <w:rFonts w:ascii="Times New Roman" w:hAnsi="Times New Roman" w:cs="Times New Roman"/>
          <w:sz w:val="26"/>
          <w:szCs w:val="26"/>
        </w:rPr>
        <w:t>внести</w:t>
      </w:r>
      <w:proofErr w:type="spellEnd"/>
      <w:r w:rsidR="00215A77">
        <w:rPr>
          <w:rFonts w:ascii="Times New Roman" w:hAnsi="Times New Roman" w:cs="Times New Roman"/>
          <w:sz w:val="26"/>
          <w:szCs w:val="26"/>
        </w:rPr>
        <w:t xml:space="preserve"> зміни до пункту 3.5 Порядку                № 263</w:t>
      </w:r>
      <w:r w:rsidR="008046BC">
        <w:rPr>
          <w:rFonts w:ascii="Times New Roman" w:hAnsi="Times New Roman" w:cs="Times New Roman"/>
          <w:sz w:val="26"/>
          <w:szCs w:val="26"/>
        </w:rPr>
        <w:t xml:space="preserve"> шляхом виключення норми щодо відмови </w:t>
      </w:r>
      <w:r w:rsidR="00A17A11">
        <w:rPr>
          <w:rFonts w:ascii="Times New Roman" w:hAnsi="Times New Roman" w:cs="Times New Roman"/>
          <w:sz w:val="26"/>
          <w:szCs w:val="26"/>
        </w:rPr>
        <w:t>в</w:t>
      </w:r>
      <w:r w:rsidR="008046BC">
        <w:rPr>
          <w:rFonts w:ascii="Times New Roman" w:hAnsi="Times New Roman" w:cs="Times New Roman"/>
          <w:sz w:val="26"/>
          <w:szCs w:val="26"/>
        </w:rPr>
        <w:t xml:space="preserve"> державній реєстрації РДГВН у разі визнання поданих РДГВН такими, що раніше виконані.</w:t>
      </w:r>
    </w:p>
    <w:p w:rsidR="008046BC" w:rsidRDefault="008046BC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Зазначені зміни обґрунтовуються тим що, переважна більшість робіт і досліджень, пов’язаних із геологічним вивчення надр були виконані ще в 60-70-х роках минулого століття.</w:t>
      </w:r>
    </w:p>
    <w:p w:rsidR="001C6EDC" w:rsidRDefault="008046BC" w:rsidP="000F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Станом на сьогоднішній день на відповідних ділянках надр, на яких були проведені згадані роботи, </w:t>
      </w:r>
      <w:r w:rsidR="001C6EDC">
        <w:rPr>
          <w:rFonts w:ascii="Times New Roman" w:hAnsi="Times New Roman" w:cs="Times New Roman"/>
          <w:sz w:val="26"/>
          <w:szCs w:val="26"/>
        </w:rPr>
        <w:t>може бути наявна інфраструктура (лінії електропередачі, залізничні колії, інші об’єкти будівництва)</w:t>
      </w:r>
      <w:r w:rsidR="000F1A85">
        <w:rPr>
          <w:rFonts w:ascii="Times New Roman" w:hAnsi="Times New Roman" w:cs="Times New Roman"/>
          <w:sz w:val="26"/>
          <w:szCs w:val="26"/>
        </w:rPr>
        <w:t xml:space="preserve"> у зв’язку з чим, </w:t>
      </w:r>
      <w:r w:rsidR="001C6EDC">
        <w:rPr>
          <w:rFonts w:ascii="Times New Roman" w:hAnsi="Times New Roman" w:cs="Times New Roman"/>
          <w:sz w:val="26"/>
          <w:szCs w:val="26"/>
        </w:rPr>
        <w:t>роботи і дослідження</w:t>
      </w:r>
      <w:r w:rsidR="000F1A85">
        <w:rPr>
          <w:rFonts w:ascii="Times New Roman" w:hAnsi="Times New Roman" w:cs="Times New Roman"/>
          <w:sz w:val="26"/>
          <w:szCs w:val="26"/>
        </w:rPr>
        <w:t>,</w:t>
      </w:r>
      <w:r w:rsidR="001C6EDC">
        <w:rPr>
          <w:rFonts w:ascii="Times New Roman" w:hAnsi="Times New Roman" w:cs="Times New Roman"/>
          <w:sz w:val="26"/>
          <w:szCs w:val="26"/>
        </w:rPr>
        <w:t xml:space="preserve"> </w:t>
      </w:r>
      <w:r w:rsidR="001C6EDC" w:rsidRPr="001C6EDC">
        <w:rPr>
          <w:rFonts w:ascii="Times New Roman" w:hAnsi="Times New Roman" w:cs="Times New Roman"/>
          <w:sz w:val="26"/>
          <w:szCs w:val="26"/>
        </w:rPr>
        <w:t>пов’язан</w:t>
      </w:r>
      <w:r w:rsidR="000F1A85">
        <w:rPr>
          <w:rFonts w:ascii="Times New Roman" w:hAnsi="Times New Roman" w:cs="Times New Roman"/>
          <w:sz w:val="26"/>
          <w:szCs w:val="26"/>
        </w:rPr>
        <w:t>і</w:t>
      </w:r>
      <w:r w:rsidR="001C6EDC" w:rsidRPr="001C6EDC">
        <w:rPr>
          <w:rFonts w:ascii="Times New Roman" w:hAnsi="Times New Roman" w:cs="Times New Roman"/>
          <w:sz w:val="26"/>
          <w:szCs w:val="26"/>
        </w:rPr>
        <w:t xml:space="preserve"> із геологічним вивчення надр</w:t>
      </w:r>
      <w:r w:rsidR="001C6EDC">
        <w:rPr>
          <w:rFonts w:ascii="Times New Roman" w:hAnsi="Times New Roman" w:cs="Times New Roman"/>
          <w:sz w:val="26"/>
          <w:szCs w:val="26"/>
        </w:rPr>
        <w:t>, які були виконані раніше</w:t>
      </w:r>
      <w:r w:rsidR="000F1A85">
        <w:rPr>
          <w:rFonts w:ascii="Times New Roman" w:hAnsi="Times New Roman" w:cs="Times New Roman"/>
          <w:sz w:val="26"/>
          <w:szCs w:val="26"/>
        </w:rPr>
        <w:t xml:space="preserve">, </w:t>
      </w:r>
      <w:r w:rsidR="001C6EDC">
        <w:rPr>
          <w:rFonts w:ascii="Times New Roman" w:hAnsi="Times New Roman" w:cs="Times New Roman"/>
          <w:sz w:val="26"/>
          <w:szCs w:val="26"/>
        </w:rPr>
        <w:t xml:space="preserve">потребують актуалізації </w:t>
      </w:r>
      <w:r w:rsidR="000F1A85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0F1A85" w:rsidRPr="000F1A85">
        <w:rPr>
          <w:rFonts w:ascii="Times New Roman" w:hAnsi="Times New Roman" w:cs="Times New Roman"/>
          <w:sz w:val="26"/>
          <w:szCs w:val="26"/>
        </w:rPr>
        <w:t>збільшення повноти геологічної, гідрогеологічної, інженерно-геологічної, геофізичної, еколого-геологічної та геохімічної вивченості надр</w:t>
      </w:r>
      <w:r w:rsidR="000F1A85">
        <w:rPr>
          <w:rFonts w:ascii="Times New Roman" w:hAnsi="Times New Roman" w:cs="Times New Roman"/>
          <w:sz w:val="26"/>
          <w:szCs w:val="26"/>
        </w:rPr>
        <w:t>.</w:t>
      </w:r>
    </w:p>
    <w:p w:rsidR="000F1A85" w:rsidRDefault="000D7674" w:rsidP="000F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Окрім того, діюча норма обмежує права суб’єктів господарювання щодо здійснення ними господарської діяльності, пов’язаної з геологічним вивченням надр.</w:t>
      </w:r>
    </w:p>
    <w:p w:rsidR="000D7674" w:rsidRDefault="000D7674" w:rsidP="000F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Запропоновані до пункту 3.5 Порядку </w:t>
      </w:r>
      <w:r w:rsidRPr="000D7674">
        <w:rPr>
          <w:rFonts w:ascii="Times New Roman" w:hAnsi="Times New Roman" w:cs="Times New Roman"/>
          <w:sz w:val="26"/>
          <w:szCs w:val="26"/>
        </w:rPr>
        <w:t>№ 263</w:t>
      </w:r>
      <w:r>
        <w:rPr>
          <w:rFonts w:ascii="Times New Roman" w:hAnsi="Times New Roman" w:cs="Times New Roman"/>
          <w:sz w:val="26"/>
          <w:szCs w:val="26"/>
        </w:rPr>
        <w:t xml:space="preserve"> зміни дозволять зменшити зайве регуляторне навантаження та забезпечити належну реалізацію прав суб’єктів господарювання.</w:t>
      </w:r>
    </w:p>
    <w:p w:rsidR="00B07A27" w:rsidRPr="00833283" w:rsidRDefault="00B07A27" w:rsidP="00952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283" w:rsidRPr="00833283" w:rsidRDefault="00833283" w:rsidP="0000045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pacing w:val="2"/>
          <w:sz w:val="26"/>
          <w:szCs w:val="26"/>
          <w:lang w:eastAsia="ja-JP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</w:t>
      </w:r>
      <w:r w:rsidRPr="00833283">
        <w:rPr>
          <w:rFonts w:ascii="Times New Roman" w:eastAsia="MS Mincho" w:hAnsi="Times New Roman" w:cs="Times New Roman"/>
          <w:spacing w:val="2"/>
          <w:sz w:val="26"/>
          <w:szCs w:val="26"/>
          <w:lang w:eastAsia="ja-JP"/>
        </w:rPr>
        <w:t xml:space="preserve"> групи на які проблема справляє вплив: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33283" w:rsidRPr="00833283" w:rsidTr="00667943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Ні</w:t>
            </w:r>
          </w:p>
        </w:tc>
      </w:tr>
      <w:tr w:rsidR="00833283" w:rsidRPr="00833283" w:rsidTr="00667943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-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+</w:t>
            </w:r>
          </w:p>
        </w:tc>
      </w:tr>
      <w:tr w:rsidR="00833283" w:rsidRPr="00833283" w:rsidTr="00667943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+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-</w:t>
            </w:r>
          </w:p>
        </w:tc>
      </w:tr>
      <w:tr w:rsidR="00833283" w:rsidRPr="00833283" w:rsidTr="00667943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8332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+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-</w:t>
            </w:r>
          </w:p>
        </w:tc>
      </w:tr>
    </w:tbl>
    <w:p w:rsidR="00A17A11" w:rsidRDefault="00A17A11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283" w:rsidRPr="00833283" w:rsidRDefault="00833283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Врегулювання зазначених проблемних питань не може бути здійснено за допомогою:</w:t>
      </w:r>
    </w:p>
    <w:p w:rsidR="00833283" w:rsidRPr="00833283" w:rsidRDefault="00833283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ринкових механізмів, оскільки такі питання регулюються виключно нормативно-правовими актами;</w:t>
      </w:r>
    </w:p>
    <w:p w:rsidR="00833283" w:rsidRPr="00833283" w:rsidRDefault="00833283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діючих регуляторних актів, оскільки чинним законодавством </w:t>
      </w:r>
      <w:r w:rsidRPr="0083328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порушені питання не врегульовані. </w:t>
      </w:r>
    </w:p>
    <w:p w:rsidR="00194175" w:rsidRPr="00C04068" w:rsidRDefault="00194175" w:rsidP="00B07A27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94175" w:rsidRPr="00C04068" w:rsidRDefault="00194175" w:rsidP="00000453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b/>
          <w:spacing w:val="0"/>
          <w:sz w:val="26"/>
          <w:szCs w:val="26"/>
        </w:rPr>
        <w:t>ІІ. Цілі державного регулювання</w:t>
      </w:r>
      <w:bookmarkEnd w:id="0"/>
    </w:p>
    <w:p w:rsidR="00194175" w:rsidRPr="00C04068" w:rsidRDefault="00194175" w:rsidP="00000453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16"/>
          <w:szCs w:val="16"/>
        </w:rPr>
      </w:pPr>
    </w:p>
    <w:p w:rsidR="00833283" w:rsidRDefault="00833283" w:rsidP="00A438CE">
      <w:pPr>
        <w:widowControl w:val="0"/>
        <w:tabs>
          <w:tab w:val="left" w:pos="770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Основними цілями державного регулювання є: </w:t>
      </w:r>
    </w:p>
    <w:p w:rsidR="00667943" w:rsidRDefault="00833283" w:rsidP="00667943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забезпечення відкритості та прозорості у сфері </w:t>
      </w:r>
      <w:proofErr w:type="spellStart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надрокористування</w:t>
      </w:r>
      <w:proofErr w:type="spellEnd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33283" w:rsidRDefault="0066794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реалізації на практиці норми щодо права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надрокористувачів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одноразове розширення меж</w:t>
      </w:r>
      <w:r w:rsidRPr="006679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площі ділянки надр на 50 відсотків, але не більш ніж на 50 відсотків запасів, виз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начених раніше наданим дозволом;</w:t>
      </w:r>
    </w:p>
    <w:p w:rsidR="00667943" w:rsidRPr="00833283" w:rsidRDefault="0066794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надання можливості суб’єктам господарювання повторно виконувати роботи і дослідження, пов’язані з геологічним вивченням надр</w:t>
      </w:r>
      <w:r w:rsidR="004208B4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тих ділянках надр</w:t>
      </w:r>
      <w:r w:rsidR="004208B4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яких такі роботи були виконі раніше; 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збільшення інвестиційної привабливості сфери </w:t>
      </w:r>
      <w:proofErr w:type="spellStart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надрокористування</w:t>
      </w:r>
      <w:proofErr w:type="spellEnd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наближення законодавства України до Європейського рівня;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покращення розвитку ресурсного потенціалу держави;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залучення іноземних інвестицій.</w:t>
      </w:r>
    </w:p>
    <w:p w:rsidR="00194175" w:rsidRPr="00C04068" w:rsidRDefault="00194175" w:rsidP="00000453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C04068" w:rsidRDefault="00194175" w:rsidP="00000453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bookmarkStart w:id="2" w:name="bookmark10"/>
      <w:r w:rsidRPr="00C04068">
        <w:rPr>
          <w:rFonts w:ascii="Times New Roman" w:hAnsi="Times New Roman" w:cs="Times New Roman"/>
          <w:spacing w:val="0"/>
          <w:sz w:val="26"/>
          <w:szCs w:val="26"/>
        </w:rPr>
        <w:t>ІІІ. Визначення та оцінка альтернативних способів досягнення цілі</w:t>
      </w:r>
      <w:bookmarkEnd w:id="2"/>
    </w:p>
    <w:p w:rsidR="00194175" w:rsidRPr="00C04068" w:rsidRDefault="00194175" w:rsidP="00000453">
      <w:pPr>
        <w:pStyle w:val="3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bCs/>
          <w:spacing w:val="0"/>
          <w:sz w:val="16"/>
          <w:szCs w:val="16"/>
        </w:rPr>
      </w:pPr>
    </w:p>
    <w:p w:rsidR="00194175" w:rsidRPr="00C04068" w:rsidRDefault="00194175" w:rsidP="00000453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Визначення альтернативних способів.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Існує два прийнятних альтернативних способи досягнення цілей державного регулювання встановленої мети.</w:t>
      </w:r>
    </w:p>
    <w:p w:rsidR="00194175" w:rsidRPr="00C04068" w:rsidRDefault="00194175" w:rsidP="0000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85"/>
      </w:tblGrid>
      <w:tr w:rsidR="00194175" w:rsidRPr="00C04068" w:rsidTr="00667943">
        <w:tc>
          <w:tcPr>
            <w:tcW w:w="4678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4785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Опис альтернативи</w:t>
            </w:r>
          </w:p>
        </w:tc>
      </w:tr>
      <w:tr w:rsidR="00194175" w:rsidRPr="00C04068" w:rsidTr="00667943">
        <w:tc>
          <w:tcPr>
            <w:tcW w:w="4678" w:type="dxa"/>
            <w:shd w:val="clear" w:color="auto" w:fill="auto"/>
          </w:tcPr>
          <w:p w:rsidR="00194175" w:rsidRPr="00C04068" w:rsidRDefault="00194175" w:rsidP="00000453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C04068">
              <w:rPr>
                <w:rStyle w:val="1"/>
                <w:spacing w:val="0"/>
                <w:sz w:val="26"/>
                <w:szCs w:val="26"/>
              </w:rPr>
              <w:t>Залишення чинного регулювання («</w:t>
            </w:r>
            <w:r w:rsidRPr="00C04068">
              <w:rPr>
                <w:rStyle w:val="1"/>
                <w:b/>
                <w:spacing w:val="0"/>
                <w:sz w:val="26"/>
                <w:szCs w:val="26"/>
              </w:rPr>
              <w:t>Альтернатива 1</w:t>
            </w:r>
            <w:r w:rsidRPr="00C04068">
              <w:rPr>
                <w:rStyle w:val="1"/>
                <w:spacing w:val="0"/>
                <w:sz w:val="26"/>
                <w:szCs w:val="26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C04068">
              <w:rPr>
                <w:rStyle w:val="1"/>
                <w:sz w:val="26"/>
                <w:szCs w:val="26"/>
              </w:rPr>
              <w:t>Збереження ситуації, яка існує на цей час, на жаль, не вирішує проблему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194175" w:rsidRPr="00C04068" w:rsidTr="00667943">
        <w:tc>
          <w:tcPr>
            <w:tcW w:w="4678" w:type="dxa"/>
            <w:shd w:val="clear" w:color="auto" w:fill="auto"/>
          </w:tcPr>
          <w:p w:rsidR="00143172" w:rsidRPr="00C04068" w:rsidRDefault="00194175" w:rsidP="0000045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C04068">
              <w:rPr>
                <w:rStyle w:val="1"/>
                <w:spacing w:val="0"/>
                <w:sz w:val="26"/>
                <w:szCs w:val="26"/>
              </w:rPr>
              <w:t xml:space="preserve">Прийняття </w:t>
            </w:r>
            <w:proofErr w:type="spellStart"/>
            <w:r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проєкту</w:t>
            </w:r>
            <w:proofErr w:type="spellEnd"/>
            <w:r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наказу Міністерства захисту довкілля та природних ресурсів України «</w:t>
            </w:r>
            <w:r w:rsidR="00143172"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«Про затвердження Змін до Порядку державної реєстрації робіт і досліджень, пов’язаних із геологічним вивченням надр»</w:t>
            </w:r>
          </w:p>
          <w:p w:rsidR="00194175" w:rsidRPr="00C04068" w:rsidRDefault="00194175" w:rsidP="00000453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(«</w:t>
            </w:r>
            <w:r w:rsidRPr="00C04068">
              <w:rPr>
                <w:rStyle w:val="1"/>
                <w:b/>
                <w:spacing w:val="0"/>
                <w:sz w:val="26"/>
                <w:szCs w:val="26"/>
              </w:rPr>
              <w:t>Альтернатива 2</w:t>
            </w:r>
            <w:r w:rsidRPr="00C04068">
              <w:rPr>
                <w:rStyle w:val="1"/>
                <w:spacing w:val="0"/>
                <w:sz w:val="26"/>
                <w:szCs w:val="26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C04068">
              <w:rPr>
                <w:rStyle w:val="1"/>
                <w:sz w:val="26"/>
                <w:szCs w:val="26"/>
              </w:rPr>
              <w:t xml:space="preserve">Прийняття </w:t>
            </w:r>
            <w:proofErr w:type="spellStart"/>
            <w:r w:rsidRPr="00C04068">
              <w:rPr>
                <w:rStyle w:val="1"/>
                <w:sz w:val="26"/>
                <w:szCs w:val="26"/>
              </w:rPr>
              <w:t>проєкту</w:t>
            </w:r>
            <w:proofErr w:type="spellEnd"/>
            <w:r w:rsidRPr="00C04068">
              <w:rPr>
                <w:rStyle w:val="1"/>
                <w:sz w:val="26"/>
                <w:szCs w:val="26"/>
              </w:rPr>
              <w:t xml:space="preserve"> </w:t>
            </w:r>
            <w:proofErr w:type="spellStart"/>
            <w:r w:rsidRPr="00C04068">
              <w:rPr>
                <w:rStyle w:val="1"/>
                <w:sz w:val="26"/>
                <w:szCs w:val="26"/>
              </w:rPr>
              <w:t>акта</w:t>
            </w:r>
            <w:proofErr w:type="spellEnd"/>
            <w:r w:rsidRPr="00C04068">
              <w:rPr>
                <w:rStyle w:val="1"/>
                <w:sz w:val="26"/>
                <w:szCs w:val="26"/>
              </w:rPr>
              <w:t xml:space="preserve"> призведе до вирішення питання щодо </w:t>
            </w:r>
            <w:r w:rsidR="00BC134B" w:rsidRPr="00C04068">
              <w:rPr>
                <w:rStyle w:val="1"/>
                <w:sz w:val="26"/>
                <w:szCs w:val="26"/>
              </w:rPr>
              <w:t>практичної реалізації норми, передбаченої Порядком № 615, стосовно можливості розширення меж діючого спеціального дозволу на користування надрами</w:t>
            </w:r>
          </w:p>
        </w:tc>
      </w:tr>
    </w:tbl>
    <w:p w:rsidR="00194175" w:rsidRPr="00C04068" w:rsidRDefault="00194175" w:rsidP="0000045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94175" w:rsidRPr="00C04068" w:rsidRDefault="00194175" w:rsidP="00000453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Оцінка вибраних альтернативних способів досягнення цілей.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Оцінка впливу на сферу інтересів держави.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194175" w:rsidRPr="00C04068" w:rsidTr="00667943">
        <w:tc>
          <w:tcPr>
            <w:tcW w:w="3180" w:type="dxa"/>
            <w:shd w:val="clear" w:color="auto" w:fill="auto"/>
            <w:vAlign w:val="center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Вигоди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Витрати</w:t>
            </w:r>
          </w:p>
        </w:tc>
      </w:tr>
      <w:tr w:rsidR="007F0A3F" w:rsidRPr="00C04068" w:rsidTr="00667943">
        <w:tc>
          <w:tcPr>
            <w:tcW w:w="3180" w:type="dxa"/>
          </w:tcPr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</w:tcPr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Відсутні.</w:t>
            </w:r>
          </w:p>
        </w:tc>
        <w:tc>
          <w:tcPr>
            <w:tcW w:w="3180" w:type="dxa"/>
          </w:tcPr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040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Відсутні.</w:t>
            </w:r>
          </w:p>
        </w:tc>
      </w:tr>
      <w:tr w:rsidR="00000453" w:rsidRPr="00C04068" w:rsidTr="00667943">
        <w:tc>
          <w:tcPr>
            <w:tcW w:w="3180" w:type="dxa"/>
          </w:tcPr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Альтернатива 2.</w:t>
            </w:r>
          </w:p>
        </w:tc>
        <w:tc>
          <w:tcPr>
            <w:tcW w:w="3180" w:type="dxa"/>
          </w:tcPr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Забезпечення відкритості та прозорості у сфері </w:t>
            </w:r>
            <w:proofErr w:type="spellStart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Збільшення інвестиційної привабливості сфери </w:t>
            </w:r>
            <w:proofErr w:type="spellStart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Наближення законодавства України до Європейського рівня.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Покращення розвитку ресурсного потенціалу держави.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Залучення іноземних інвестицій.</w:t>
            </w:r>
          </w:p>
        </w:tc>
        <w:tc>
          <w:tcPr>
            <w:tcW w:w="3180" w:type="dxa"/>
          </w:tcPr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040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Відсутні.</w:t>
            </w:r>
          </w:p>
        </w:tc>
      </w:tr>
    </w:tbl>
    <w:p w:rsidR="00194175" w:rsidRPr="00C04068" w:rsidRDefault="00194175" w:rsidP="0000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000453" w:rsidRDefault="00000453" w:rsidP="00A438CE">
      <w:pPr>
        <w:widowControl w:val="0"/>
        <w:tabs>
          <w:tab w:val="left" w:pos="990"/>
        </w:tabs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000453" w:rsidRPr="00000453" w:rsidTr="00667943">
        <w:tc>
          <w:tcPr>
            <w:tcW w:w="2448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Вид альтернативи</w:t>
            </w:r>
          </w:p>
        </w:tc>
        <w:tc>
          <w:tcPr>
            <w:tcW w:w="3132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2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Вигоди</w:t>
            </w:r>
          </w:p>
        </w:tc>
        <w:tc>
          <w:tcPr>
            <w:tcW w:w="3690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Витрати</w:t>
            </w:r>
          </w:p>
        </w:tc>
      </w:tr>
      <w:tr w:rsidR="00000453" w:rsidRPr="00000453" w:rsidTr="00667943">
        <w:tc>
          <w:tcPr>
            <w:tcW w:w="2448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Альтернатива 1.</w:t>
            </w:r>
          </w:p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2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90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00453" w:rsidRPr="00000453" w:rsidTr="00667943">
        <w:tc>
          <w:tcPr>
            <w:tcW w:w="2448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3132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90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000453" w:rsidRPr="00C04068" w:rsidRDefault="00000453" w:rsidP="00000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0453" w:rsidRPr="00000453" w:rsidRDefault="00000453" w:rsidP="00000453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Оцінка впливу на сферу інтересів суб’єктів господарювання</w:t>
      </w:r>
    </w:p>
    <w:p w:rsidR="00B07A27" w:rsidRPr="00000453" w:rsidRDefault="00B07A27" w:rsidP="00000453">
      <w:pPr>
        <w:widowControl w:val="0"/>
        <w:tabs>
          <w:tab w:val="left" w:pos="990"/>
        </w:tabs>
        <w:spacing w:after="0" w:line="240" w:lineRule="auto"/>
        <w:ind w:left="27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1265"/>
        <w:gridCol w:w="1405"/>
        <w:gridCol w:w="1250"/>
        <w:gridCol w:w="1393"/>
        <w:gridCol w:w="1390"/>
      </w:tblGrid>
      <w:tr w:rsidR="00000453" w:rsidRPr="00000453" w:rsidTr="00000453">
        <w:tc>
          <w:tcPr>
            <w:tcW w:w="2504" w:type="dxa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Показник</w:t>
            </w:r>
          </w:p>
        </w:tc>
        <w:tc>
          <w:tcPr>
            <w:tcW w:w="1265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Великі*</w:t>
            </w:r>
          </w:p>
        </w:tc>
        <w:tc>
          <w:tcPr>
            <w:tcW w:w="1405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Середні*</w:t>
            </w:r>
          </w:p>
        </w:tc>
        <w:tc>
          <w:tcPr>
            <w:tcW w:w="1250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Малі*</w:t>
            </w:r>
          </w:p>
        </w:tc>
        <w:tc>
          <w:tcPr>
            <w:tcW w:w="1393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Мікро*</w:t>
            </w:r>
          </w:p>
        </w:tc>
        <w:tc>
          <w:tcPr>
            <w:tcW w:w="1390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Разом*</w:t>
            </w:r>
          </w:p>
        </w:tc>
      </w:tr>
      <w:tr w:rsidR="00000453" w:rsidRPr="00000453" w:rsidTr="00000453">
        <w:tc>
          <w:tcPr>
            <w:tcW w:w="2504" w:type="dxa"/>
          </w:tcPr>
          <w:p w:rsidR="00000453" w:rsidRPr="00000453" w:rsidRDefault="00000453" w:rsidP="00000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472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585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1741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2852</w:t>
            </w:r>
          </w:p>
        </w:tc>
      </w:tr>
      <w:tr w:rsidR="00000453" w:rsidRPr="00000453" w:rsidTr="00000453">
        <w:tc>
          <w:tcPr>
            <w:tcW w:w="2504" w:type="dxa"/>
          </w:tcPr>
          <w:p w:rsidR="00000453" w:rsidRPr="00000453" w:rsidRDefault="00000453" w:rsidP="00000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Питома вага групи у загальній кількості, відсотків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1,89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16,54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20,51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61,04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</w:tr>
    </w:tbl>
    <w:p w:rsidR="00000453" w:rsidRPr="00000453" w:rsidRDefault="00000453" w:rsidP="00000453">
      <w:pPr>
        <w:widowControl w:val="0"/>
        <w:tabs>
          <w:tab w:val="left" w:pos="990"/>
        </w:tabs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*Державна служба статистики України.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000453" w:rsidRDefault="00000453" w:rsidP="00000453">
      <w:pPr>
        <w:widowControl w:val="0"/>
        <w:tabs>
          <w:tab w:val="left" w:pos="990"/>
        </w:tabs>
        <w:spacing w:before="120"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1</w:t>
      </w:r>
    </w:p>
    <w:p w:rsidR="00000453" w:rsidRPr="00000453" w:rsidRDefault="00000453" w:rsidP="00000453">
      <w:pPr>
        <w:widowControl w:val="0"/>
        <w:tabs>
          <w:tab w:val="left" w:pos="990"/>
        </w:tabs>
        <w:spacing w:before="120"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малого підприємництва (М-Тест)</w:t>
      </w:r>
    </w:p>
    <w:p w:rsidR="00000453" w:rsidRPr="00000453" w:rsidRDefault="00000453" w:rsidP="00A438CE">
      <w:pPr>
        <w:widowControl w:val="0"/>
        <w:tabs>
          <w:tab w:val="left" w:pos="99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000453" w:rsidRPr="00000453" w:rsidRDefault="00000453" w:rsidP="00A438CE">
      <w:pPr>
        <w:widowControl w:val="0"/>
        <w:tabs>
          <w:tab w:val="left" w:pos="99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08.2020</w:t>
      </w: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04.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09.2020</w:t>
      </w: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453" w:rsidRPr="00000453" w:rsidRDefault="00000453" w:rsidP="00A438CE">
      <w:pPr>
        <w:widowControl w:val="0"/>
        <w:tabs>
          <w:tab w:val="left" w:pos="99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000453" w:rsidRPr="00000453" w:rsidTr="00667943">
        <w:tc>
          <w:tcPr>
            <w:tcW w:w="1384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 результати консультацій</w:t>
            </w:r>
          </w:p>
        </w:tc>
      </w:tr>
      <w:tr w:rsidR="00000453" w:rsidRPr="00000453" w:rsidTr="00667943">
        <w:tc>
          <w:tcPr>
            <w:tcW w:w="1384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надрокористувачами</w:t>
            </w:r>
            <w:proofErr w:type="spellEnd"/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 сприймається.</w:t>
            </w:r>
          </w:p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000453" w:rsidRPr="00000453" w:rsidRDefault="00000453" w:rsidP="00F20B32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ознайомитися з новими вимогами регулювання – 0,5 год.</w:t>
            </w:r>
          </w:p>
        </w:tc>
      </w:tr>
    </w:tbl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0B32" w:rsidRPr="00F20B32" w:rsidRDefault="00F20B32" w:rsidP="00A438CE">
      <w:pPr>
        <w:widowControl w:val="0"/>
        <w:tabs>
          <w:tab w:val="left" w:pos="99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Вимірювання впливу регулювання на суб’єктів малого підприємництва:</w:t>
      </w:r>
    </w:p>
    <w:p w:rsidR="00F20B32" w:rsidRPr="00F20B32" w:rsidRDefault="00F20B32" w:rsidP="00A23DC4">
      <w:pPr>
        <w:widowControl w:val="0"/>
        <w:tabs>
          <w:tab w:val="left" w:pos="142"/>
          <w:tab w:val="left" w:pos="990"/>
        </w:tabs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суб'єктів малого(мікро) підприємництва, на яких поширюється регулювання: 2326.</w:t>
      </w:r>
    </w:p>
    <w:p w:rsidR="00F20B32" w:rsidRPr="00F20B32" w:rsidRDefault="00F20B32" w:rsidP="00A438CE">
      <w:pPr>
        <w:widowControl w:val="0"/>
        <w:tabs>
          <w:tab w:val="left" w:pos="142"/>
          <w:tab w:val="left" w:pos="99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питома вага суб'єктів малого підприємництва у загальній кількості суб'єктів господарювання, на яких проблема справляє вплив 81,5 %.</w:t>
      </w: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0B32" w:rsidRPr="00F20B32" w:rsidRDefault="00F20B32" w:rsidP="00A438CE">
      <w:pPr>
        <w:widowControl w:val="0"/>
        <w:tabs>
          <w:tab w:val="left" w:pos="99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витрат суб’єкта малого підприємництва на виконання вимог регулювання.</w:t>
      </w:r>
    </w:p>
    <w:p w:rsidR="00F20B32" w:rsidRPr="00F20B32" w:rsidRDefault="00F20B32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розрахунку вартості 1 години роботи використано вартість 1 години роботи, яка відповідно до Закону України «Про Державний бюджет України на 2020 рік», з 1 </w:t>
      </w:r>
      <w:r w:rsidR="0093156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вересня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року становить – </w:t>
      </w:r>
      <w:r w:rsidRPr="00F20B32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2</w:t>
      </w:r>
      <w:r w:rsidR="00B07A27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9</w:t>
      </w:r>
      <w:r w:rsidRPr="00F20B32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,</w:t>
      </w:r>
      <w:r w:rsidR="00B07A27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2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гривні. </w:t>
      </w:r>
    </w:p>
    <w:p w:rsidR="00F20B32" w:rsidRPr="00F20B32" w:rsidRDefault="00F20B32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Первинна інформація про вимоги регулювання може бути отримана за результатами пошуку</w:t>
      </w: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B3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наказу Міністерства </w:t>
      </w:r>
      <w:r w:rsidR="00D033F5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захисту </w:t>
      </w:r>
      <w:r w:rsidRPr="00F20B3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довкілля </w:t>
      </w:r>
      <w:r w:rsidR="00B07A2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та природних ресурсів </w:t>
      </w:r>
      <w:r w:rsidRPr="00F20B3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України </w:t>
      </w:r>
      <w:r w:rsidR="000F790F"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«Про затвердження Змін до Порядку державної реєстрації робіт і досліджень, пов’язаних із геологічним вивченням надр» 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офіційному веб-сайті Державної служби геології та</w:t>
      </w:r>
      <w:r w:rsidR="00192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 України.</w:t>
      </w:r>
    </w:p>
    <w:p w:rsidR="00F20B32" w:rsidRPr="00F20B32" w:rsidRDefault="00F20B32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F20B32" w:rsidRPr="00F20B32" w:rsidRDefault="00F20B32" w:rsidP="00F20B32">
      <w:pPr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0F790F" w:rsidRPr="000F790F" w:rsidTr="00667943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за</w:t>
            </w:r>
          </w:p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п’ять років</w:t>
            </w:r>
          </w:p>
        </w:tc>
      </w:tr>
      <w:tr w:rsidR="000F790F" w:rsidRPr="000F790F" w:rsidTr="00667943">
        <w:tc>
          <w:tcPr>
            <w:tcW w:w="9540" w:type="dxa"/>
            <w:gridSpan w:val="9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 w:line="240" w:lineRule="auto"/>
              <w:ind w:left="10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rPr>
          <w:trHeight w:val="840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Разом, гривень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суб’єктів господарювання,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Сумарно, гривень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відповідний стовпчик “разом” Х  кількість суб’єктів малого </w:t>
            </w: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lastRenderedPageBreak/>
              <w:t>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9540" w:type="dxa"/>
            <w:gridSpan w:val="9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508910343"/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Pr="000F79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2</w:t>
            </w:r>
            <w:r w:rsidR="00B0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</w:t>
            </w: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грн. = </w:t>
            </w:r>
          </w:p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 грн.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організації виконання вимог регулювання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Процедури офіційного звітування. 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F790F" w:rsidRPr="000F790F" w:rsidTr="00667943">
        <w:trPr>
          <w:trHeight w:val="840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Процедури щодо забезпечення процесу перевірок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F790F" w:rsidRPr="000F790F" w:rsidTr="00667943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667943">
        <w:trPr>
          <w:trHeight w:val="777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14,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грн</w:t>
            </w:r>
          </w:p>
        </w:tc>
      </w:tr>
      <w:tr w:rsidR="000F790F" w:rsidRPr="000F790F" w:rsidTr="00667943">
        <w:trPr>
          <w:trHeight w:val="921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2326</w:t>
            </w:r>
          </w:p>
        </w:tc>
      </w:tr>
      <w:tr w:rsidR="000F790F" w:rsidRPr="000F790F" w:rsidTr="00667943">
        <w:trPr>
          <w:trHeight w:val="480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B07A27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</w:tr>
    </w:tbl>
    <w:p w:rsidR="000F790F" w:rsidRPr="000F790F" w:rsidRDefault="000F790F" w:rsidP="000F790F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bookmarkEnd w:id="3"/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0F7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797"/>
        <w:gridCol w:w="1782"/>
        <w:gridCol w:w="1818"/>
      </w:tblGrid>
      <w:tr w:rsidR="000F790F" w:rsidRPr="000F790F" w:rsidTr="006679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перший рік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п’ять років</w:t>
            </w:r>
          </w:p>
        </w:tc>
      </w:tr>
      <w:tr w:rsidR="000F790F" w:rsidRPr="000F790F" w:rsidTr="006679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</w:tr>
      <w:tr w:rsidR="000F790F" w:rsidRPr="000F790F" w:rsidTr="006679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організації виконання вимог регулювання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0.00 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0.00 грн </w:t>
            </w:r>
          </w:p>
        </w:tc>
      </w:tr>
      <w:tr w:rsidR="000F790F" w:rsidRPr="000F790F" w:rsidTr="006679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(сума рядків: 1+2+3), гривень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</w:tr>
      <w:tr w:rsidR="000F790F" w:rsidRPr="000F790F" w:rsidTr="006679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</w:tr>
      <w:tr w:rsidR="000F790F" w:rsidRPr="000F790F" w:rsidTr="006679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B0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680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B0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680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</w:tr>
    </w:tbl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254"/>
      </w:tblGrid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 витрат, гривень</w:t>
            </w: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lastRenderedPageBreak/>
              <w:t>Альтернатива 1.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держави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Див. Розділ Оцінка впливу на сферу інтересів суб’єктів господарювання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малого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держави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7680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0F790F" w:rsidRPr="000F790F" w:rsidTr="00667943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малого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33960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</w:tbl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4835" w:rsidRPr="00C14835" w:rsidRDefault="00C14835" w:rsidP="00C14835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 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982"/>
        <w:gridCol w:w="1366"/>
        <w:gridCol w:w="1962"/>
        <w:gridCol w:w="2020"/>
      </w:tblGrid>
      <w:tr w:rsidR="00C14835" w:rsidRPr="00C14835" w:rsidTr="00667943">
        <w:tc>
          <w:tcPr>
            <w:tcW w:w="2430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982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348" w:type="dxa"/>
            <w:gridSpan w:val="3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бала</w:t>
            </w:r>
            <w:proofErr w:type="spellEnd"/>
          </w:p>
        </w:tc>
      </w:tr>
      <w:tr w:rsidR="00C14835" w:rsidRPr="00C14835" w:rsidTr="00667943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Така альтернатива не сприятиме досягненню цілей державного регулювання.</w:t>
            </w:r>
            <w:r w:rsidRPr="00C1483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Залишаються проблеми зазначені у Розділі 1 Аналізу.</w:t>
            </w:r>
          </w:p>
        </w:tc>
      </w:tr>
      <w:tr w:rsidR="00C14835" w:rsidRPr="00C14835" w:rsidTr="00667943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Така альтернатива сприятиме досягненню цілей державного регулювання щодо: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Забезпечення прозорості та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конкурентності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14835" w:rsidRPr="00C04068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Залучення іноземних інвестицій.</w:t>
            </w:r>
          </w:p>
          <w:p w:rsidR="003512AD" w:rsidRPr="00C14835" w:rsidRDefault="003512AD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</w:t>
            </w:r>
            <w:r w:rsidR="00766A8D"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ечення належної реалізації прав та законних інтересів суб’єктів господарювання у сфері </w:t>
            </w:r>
            <w:proofErr w:type="spellStart"/>
            <w:r w:rsidR="00766A8D"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="00766A8D"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Збільшення інвестиційної привабливості сфери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цілому.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Покращення розвитку ресурсного потенціалу держави.</w:t>
            </w:r>
          </w:p>
        </w:tc>
      </w:tr>
      <w:tr w:rsidR="00C14835" w:rsidRPr="00C14835" w:rsidTr="00667943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180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14835" w:rsidRPr="00C14835" w:rsidTr="00667943">
        <w:tc>
          <w:tcPr>
            <w:tcW w:w="2430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 результативності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Вигоди (підсумок)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C14835" w:rsidRPr="00C14835" w:rsidTr="00667943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держави: 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прозорості та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конкурентності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Залучення іноземних інвестицій.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Збільшення інвестиційної привабливості сфери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цілому.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Покращення розвитку ресурсного потенціалу держави.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Збільшення надходжень до Державного бюджету України.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Усунення корупційних ризиків.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суб’єктів господарювання: 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прозорості та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конкурентності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прав та законних інтересів суб’єктів господарювання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Для держави:</w:t>
            </w: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Відсутні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суб’єктів господарювання: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саме: 0,5 год на ознайомлення з нормативно-правовим актом.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C14835" w:rsidRPr="00C14835" w:rsidTr="00667943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Для держави: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Відсутні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Для суб’єктів господарювання: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  <w:p w:rsidR="00C14835" w:rsidRPr="00C14835" w:rsidRDefault="00C14835" w:rsidP="00C14835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Відсутні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держави: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суб’єктів господарювання:</w:t>
            </w: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C14835" w:rsidRPr="00C14835" w:rsidRDefault="00B67093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залишаться на існуючому рівні.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Така альтернатива не сприятиме досягненню цілей державного регулювання.</w:t>
            </w:r>
          </w:p>
        </w:tc>
      </w:tr>
      <w:tr w:rsidR="00C14835" w:rsidRPr="00C14835" w:rsidTr="00667943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14835" w:rsidRPr="00C14835" w:rsidTr="00667943">
        <w:tc>
          <w:tcPr>
            <w:tcW w:w="2430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 ризику зовнішніх</w:t>
            </w: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чинників на дію запропонованого регуляторного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</w:p>
        </w:tc>
      </w:tr>
      <w:tr w:rsidR="00C14835" w:rsidRPr="00C14835" w:rsidTr="00667943">
        <w:tc>
          <w:tcPr>
            <w:tcW w:w="2430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  <w:gridSpan w:val="2"/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  <w:tc>
          <w:tcPr>
            <w:tcW w:w="3982" w:type="dxa"/>
            <w:gridSpan w:val="2"/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Відсутні.</w:t>
            </w:r>
          </w:p>
        </w:tc>
      </w:tr>
      <w:tr w:rsidR="00C14835" w:rsidRPr="00C14835" w:rsidTr="00667943">
        <w:tc>
          <w:tcPr>
            <w:tcW w:w="2430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C14835" w:rsidRPr="00C14835" w:rsidRDefault="00C14835" w:rsidP="00515B5C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Така альтернатива є найбільш оптимальною, оскільки, удосконалить процедуру державної реєстрації РДГВ</w:t>
            </w:r>
            <w:r w:rsidR="00515B5C" w:rsidRPr="00C04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 та забезпечить належну реалізацію прав та законних інтересів суб’єктів господарювання у сфері </w:t>
            </w:r>
            <w:proofErr w:type="spellStart"/>
            <w:r w:rsidR="00515B5C" w:rsidRPr="00C04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надрокористування</w:t>
            </w:r>
            <w:proofErr w:type="spellEnd"/>
            <w:r w:rsidR="00515B5C" w:rsidRPr="00C04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передбачених законодавством.</w:t>
            </w:r>
          </w:p>
        </w:tc>
        <w:tc>
          <w:tcPr>
            <w:tcW w:w="3982" w:type="dxa"/>
            <w:gridSpan w:val="2"/>
          </w:tcPr>
          <w:p w:rsidR="00C14835" w:rsidRPr="00C14835" w:rsidRDefault="00727198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Ризик зовнішніх чинників на дію </w:t>
            </w:r>
            <w:proofErr w:type="spellStart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відсутній</w:t>
            </w:r>
          </w:p>
        </w:tc>
      </w:tr>
    </w:tbl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27198" w:rsidRPr="00727198" w:rsidRDefault="00727198" w:rsidP="00EC32B9">
      <w:pPr>
        <w:widowControl w:val="0"/>
        <w:tabs>
          <w:tab w:val="left" w:pos="-3686"/>
          <w:tab w:val="left" w:pos="990"/>
        </w:tabs>
        <w:spacing w:before="120"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 Механізм та заходи, які забезпечать розв’язання визначеної проблеми</w:t>
      </w:r>
    </w:p>
    <w:p w:rsidR="00727198" w:rsidRPr="00727198" w:rsidRDefault="00727198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в свою чергу забезпечить:</w:t>
      </w:r>
    </w:p>
    <w:p w:rsidR="00727198" w:rsidRPr="00727198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приведення Порядку </w:t>
      </w:r>
      <w:r w:rsidR="00A23DC4"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263 </w:t>
      </w: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у відповідність до вимог чинного законодавства;</w:t>
      </w:r>
    </w:p>
    <w:p w:rsidR="00D033F5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відкритість та прозорість сфери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надрокор</w:t>
      </w:r>
      <w:r w:rsidR="00A23DC4"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истування</w:t>
      </w:r>
      <w:proofErr w:type="spellEnd"/>
      <w:r w:rsidR="00A23DC4"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27198" w:rsidRPr="00727198" w:rsidRDefault="00A23DC4" w:rsidP="00A23DC4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мінімізує суб’єктивний</w:t>
      </w:r>
      <w:r w:rsidR="00727198"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 під час здійснення дозвільних процедур;</w:t>
      </w:r>
    </w:p>
    <w:p w:rsidR="00727198" w:rsidRPr="00727198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конкурентність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сфері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надрокористування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7198" w:rsidRPr="00727198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зменшення регуляторного навантаження на суб’єктів господарювання.</w:t>
      </w:r>
    </w:p>
    <w:p w:rsidR="00727198" w:rsidRPr="00C04068" w:rsidRDefault="00727198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удосконалення процедури державної реєстрації РДГВН.</w:t>
      </w:r>
    </w:p>
    <w:p w:rsidR="00A23DC4" w:rsidRPr="00727198" w:rsidRDefault="00A23DC4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198" w:rsidRPr="00727198" w:rsidRDefault="00727198" w:rsidP="00A23DC4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Організаційні заходи для впровадження регулювання:</w:t>
      </w:r>
    </w:p>
    <w:p w:rsidR="00727198" w:rsidRPr="00C04068" w:rsidRDefault="00727198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впровадження цього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необхідно забезпечити погодження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заінтересован</w:t>
      </w:r>
      <w:r w:rsidR="00B032E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орган</w:t>
      </w:r>
      <w:r w:rsidR="00B032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ми, подання на державну реєстрацію до Міністерства юстиції, інформування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надрокористувачів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вимоги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його оприлюднення у засобах масової інформації та публікації в Офіційному віснику України.</w:t>
      </w:r>
    </w:p>
    <w:p w:rsidR="00A23DC4" w:rsidRPr="00727198" w:rsidRDefault="00A23DC4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198" w:rsidRPr="00727198" w:rsidRDefault="00727198" w:rsidP="00A23DC4">
      <w:pPr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Заходи, які необхідно здійснити суб’єктам господарської діяльності:</w:t>
      </w:r>
    </w:p>
    <w:p w:rsidR="00727198" w:rsidRPr="00727198" w:rsidRDefault="00727198" w:rsidP="00A23DC4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ознайомитися з вимогами регулювання (пошук та опра</w:t>
      </w:r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цювання регуляторного </w:t>
      </w:r>
      <w:proofErr w:type="spellStart"/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мережі Інтернет).</w:t>
      </w: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before="120"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VI. Оцінка виконання вимог регуляторного </w:t>
      </w:r>
      <w:proofErr w:type="spellStart"/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Реалізація регуляторного </w:t>
      </w:r>
      <w:proofErr w:type="spellStart"/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EC32B9" w:rsidRPr="00C04068" w:rsidRDefault="00EC32B9" w:rsidP="002873B2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розрахунок витрат суб’єктів малого (мікро) підприємництва в межах даного аналізу.</w:t>
      </w:r>
    </w:p>
    <w:p w:rsidR="005F1A3D" w:rsidRPr="00EC32B9" w:rsidRDefault="005F1A3D" w:rsidP="005F1A3D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7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2B9" w:rsidRPr="00EC32B9" w:rsidRDefault="00EC32B9" w:rsidP="00524C19">
      <w:pPr>
        <w:widowControl w:val="0"/>
        <w:tabs>
          <w:tab w:val="left" w:pos="990"/>
        </w:tabs>
        <w:spacing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VII. Обґрунтування запропонованого строку дії регуляторного </w:t>
      </w:r>
      <w:proofErr w:type="spellStart"/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EC32B9" w:rsidRPr="00EC32B9" w:rsidRDefault="00EC32B9" w:rsidP="00524C1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Строк дії цього регуляторного </w:t>
      </w:r>
      <w:proofErr w:type="spellStart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акта</w:t>
      </w:r>
      <w:proofErr w:type="spellEnd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акта</w:t>
      </w:r>
      <w:proofErr w:type="spellEnd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є постійною.</w:t>
      </w: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є: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Розмір надходжень до державного та місцевих бюджетів і державних цільових 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фондів, пов’язаних із дією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– не прогнозуються. 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Кількість суб’єктів господарювання: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суб’єктів господарювання великого і середнього підприємництва – 526;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суб’єктів господарювання малого та мікро підприємництва – 2326.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низький.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одного суб’єкта господарювання великого і середнього підприємництва:</w:t>
      </w:r>
      <w:r w:rsidRPr="00620EE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>14,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6 грн.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одного суб’єкта господарювання мало</w:t>
      </w:r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та мікро підприємництва: 14,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6 грн.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Кількість часу, який витрачатиметься суб’єктом господарювання у зв’язку із виконанням вимог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0EEB" w:rsidRPr="00620EEB" w:rsidRDefault="00620EEB" w:rsidP="006F60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одного суб’єкта господарювання великого і середнього підприємництва: 0,5 год.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одного суб’єкта господарювання малого та мікро підприємництва: 0,5 год.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Рівень поінформованості суб’єктів господарювання і фізичних осіб – високий. Проект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відповідний аналіз регуляторного впливу оприлюднено на офіційному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" w:name="_Hlk23429338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Державної служби геології та надр  України</w:t>
      </w:r>
      <w:bookmarkEnd w:id="4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прийняття та державної реєстрації регуляторного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він буде опублікований у засобах масової інформації та Офіційному віснику України.</w:t>
      </w:r>
    </w:p>
    <w:p w:rsidR="00000453" w:rsidRPr="00C04068" w:rsidRDefault="00000453" w:rsidP="00421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2145C" w:rsidRPr="0042145C" w:rsidRDefault="0042145C" w:rsidP="0042145C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2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42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акта</w:t>
      </w:r>
      <w:proofErr w:type="spellEnd"/>
      <w:r w:rsidRPr="0042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виходячи з його цілей, слугуватимуть:</w:t>
      </w:r>
    </w:p>
    <w:p w:rsidR="0042145C" w:rsidRPr="0042145C" w:rsidRDefault="0042145C" w:rsidP="0042145C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2145C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здійснених державних реєстрацій робіт і досліджень, пов’язаних із геологічним вивченням надр (РДГВН).</w:t>
      </w:r>
    </w:p>
    <w:p w:rsidR="0042145C" w:rsidRPr="00C04068" w:rsidRDefault="0042145C" w:rsidP="0042145C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поданих заяв для проведення державної реєстрації РДГВН.</w:t>
      </w:r>
    </w:p>
    <w:p w:rsidR="0042145C" w:rsidRPr="0042145C" w:rsidRDefault="0042145C" w:rsidP="0042145C">
      <w:pPr>
        <w:widowControl w:val="0"/>
        <w:numPr>
          <w:ilvl w:val="0"/>
          <w:numId w:val="7"/>
        </w:numPr>
        <w:tabs>
          <w:tab w:val="left" w:pos="99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5C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зареєстрованих РДГВН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453" w:rsidRPr="00C04068" w:rsidRDefault="00000453" w:rsidP="00421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068" w:rsidRPr="00C04068" w:rsidRDefault="00C04068" w:rsidP="00C04068">
      <w:pPr>
        <w:widowControl w:val="0"/>
        <w:tabs>
          <w:tab w:val="left" w:pos="990"/>
        </w:tabs>
        <w:spacing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C04068" w:rsidRPr="00C04068" w:rsidRDefault="00C04068" w:rsidP="00C0406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Відстеження результативності регуляторного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здійснюватиметься шляхом проведення базового та повторного </w:t>
      </w:r>
      <w:r w:rsidR="00D873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та </w:t>
      </w: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періодичного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відстежень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статистичних показників результативності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визначених під час проведення аналізу впливу регуляторного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. </w:t>
      </w:r>
    </w:p>
    <w:p w:rsidR="001352CA" w:rsidRPr="001352CA" w:rsidRDefault="001352CA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Базове відстеження результативності цього регуляторного </w:t>
      </w:r>
      <w:proofErr w:type="spellStart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здійснюватиметься через рік після набрання ним чинності, оскільки для цього використовуватимуться виключно статистичні показники. </w:t>
      </w:r>
    </w:p>
    <w:p w:rsidR="001352CA" w:rsidRPr="001352CA" w:rsidRDefault="001352CA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Повторне відстеження результативності регуляторного </w:t>
      </w:r>
      <w:proofErr w:type="spellStart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здійснюватиметься через два роки з дня набрання чинності цим регуляторним актом. За результатами даного відстеження відбудеться порівняння показників базового та повторного відстеження.</w:t>
      </w:r>
    </w:p>
    <w:p w:rsidR="001352CA" w:rsidRDefault="001352CA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1352CA" w:rsidRDefault="00C04068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У разі надходження пропозицій та зауважень щодо вирішення неврегульованих або проблемних питань буде розглядатись необхідн</w:t>
      </w:r>
      <w:r w:rsidR="001352CA">
        <w:rPr>
          <w:rFonts w:ascii="Times New Roman" w:eastAsia="MS Mincho" w:hAnsi="Times New Roman" w:cs="Times New Roman"/>
          <w:sz w:val="26"/>
          <w:szCs w:val="26"/>
          <w:lang w:eastAsia="ja-JP"/>
        </w:rPr>
        <w:t>ість внесення відповідних змін.</w:t>
      </w:r>
    </w:p>
    <w:p w:rsidR="00C04068" w:rsidRPr="00C04068" w:rsidRDefault="00C04068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lastRenderedPageBreak/>
        <w:t xml:space="preserve">Відстеження результативності регуляторного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буде здійснювати Міністерство захисту довкілля та природних ресурсів України спільно з Державною службою геології та надр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Ураїни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протягом усього </w:t>
      </w:r>
      <w:proofErr w:type="spellStart"/>
      <w:r w:rsidR="00567D22">
        <w:rPr>
          <w:rFonts w:ascii="Times New Roman" w:eastAsia="MS Mincho" w:hAnsi="Times New Roman" w:cs="Times New Roman"/>
          <w:sz w:val="26"/>
          <w:szCs w:val="26"/>
          <w:lang w:eastAsia="ja-JP"/>
        </w:rPr>
        <w:t>сроку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його дії шляхом розгляду пропозицій та зауважень, які надійдуть до нього.</w:t>
      </w:r>
    </w:p>
    <w:p w:rsidR="00C04068" w:rsidRPr="00C04068" w:rsidRDefault="00C04068" w:rsidP="00C04068">
      <w:pPr>
        <w:widowControl w:val="0"/>
        <w:tabs>
          <w:tab w:val="left" w:pos="990"/>
        </w:tabs>
        <w:spacing w:after="0" w:line="240" w:lineRule="auto"/>
        <w:ind w:left="270" w:firstLine="72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C04068" w:rsidRPr="00C04068" w:rsidRDefault="00C04068" w:rsidP="00C04068">
      <w:pPr>
        <w:widowControl w:val="0"/>
        <w:tabs>
          <w:tab w:val="left" w:pos="990"/>
        </w:tabs>
        <w:spacing w:after="0" w:line="240" w:lineRule="auto"/>
        <w:ind w:left="270" w:firstLine="72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C04068" w:rsidRPr="00C04068" w:rsidRDefault="00C04068" w:rsidP="00C040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Голова Державної служби </w:t>
      </w:r>
    </w:p>
    <w:p w:rsidR="00C04068" w:rsidRPr="00C04068" w:rsidRDefault="00C04068" w:rsidP="00C040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геології та надр України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Роман ОПІМАХ</w:t>
      </w:r>
    </w:p>
    <w:p w:rsidR="00C04068" w:rsidRPr="00C04068" w:rsidRDefault="00C04068" w:rsidP="00C04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00453" w:rsidRPr="00C04068" w:rsidRDefault="00000453" w:rsidP="00421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000453" w:rsidRPr="00C04068" w:rsidSect="008A52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43" w:rsidRDefault="00667943" w:rsidP="008A52E8">
      <w:pPr>
        <w:spacing w:after="0" w:line="240" w:lineRule="auto"/>
      </w:pPr>
      <w:r>
        <w:separator/>
      </w:r>
    </w:p>
  </w:endnote>
  <w:endnote w:type="continuationSeparator" w:id="0">
    <w:p w:rsidR="00667943" w:rsidRDefault="00667943" w:rsidP="008A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43" w:rsidRDefault="00667943" w:rsidP="008A52E8">
      <w:pPr>
        <w:spacing w:after="0" w:line="240" w:lineRule="auto"/>
      </w:pPr>
      <w:r>
        <w:separator/>
      </w:r>
    </w:p>
  </w:footnote>
  <w:footnote w:type="continuationSeparator" w:id="0">
    <w:p w:rsidR="00667943" w:rsidRDefault="00667943" w:rsidP="008A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2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7943" w:rsidRPr="008A52E8" w:rsidRDefault="00667943">
        <w:pPr>
          <w:pStyle w:val="a7"/>
          <w:jc w:val="center"/>
          <w:rPr>
            <w:rFonts w:ascii="Times New Roman" w:hAnsi="Times New Roman" w:cs="Times New Roman"/>
          </w:rPr>
        </w:pPr>
        <w:r w:rsidRPr="008A52E8">
          <w:rPr>
            <w:rFonts w:ascii="Times New Roman" w:hAnsi="Times New Roman" w:cs="Times New Roman"/>
          </w:rPr>
          <w:fldChar w:fldCharType="begin"/>
        </w:r>
        <w:r w:rsidRPr="008A52E8">
          <w:rPr>
            <w:rFonts w:ascii="Times New Roman" w:hAnsi="Times New Roman" w:cs="Times New Roman"/>
          </w:rPr>
          <w:instrText>PAGE   \* MERGEFORMAT</w:instrText>
        </w:r>
        <w:r w:rsidRPr="008A52E8">
          <w:rPr>
            <w:rFonts w:ascii="Times New Roman" w:hAnsi="Times New Roman" w:cs="Times New Roman"/>
          </w:rPr>
          <w:fldChar w:fldCharType="separate"/>
        </w:r>
        <w:r w:rsidR="00A17A11" w:rsidRPr="00A17A11">
          <w:rPr>
            <w:rFonts w:ascii="Times New Roman" w:hAnsi="Times New Roman" w:cs="Times New Roman"/>
            <w:noProof/>
            <w:lang w:val="ru-RU"/>
          </w:rPr>
          <w:t>2</w:t>
        </w:r>
        <w:r w:rsidRPr="008A52E8">
          <w:rPr>
            <w:rFonts w:ascii="Times New Roman" w:hAnsi="Times New Roman" w:cs="Times New Roman"/>
          </w:rPr>
          <w:fldChar w:fldCharType="end"/>
        </w:r>
      </w:p>
    </w:sdtContent>
  </w:sdt>
  <w:p w:rsidR="00667943" w:rsidRDefault="006679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754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EA6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1597F6E"/>
    <w:multiLevelType w:val="hybridMultilevel"/>
    <w:tmpl w:val="B9EE8510"/>
    <w:lvl w:ilvl="0" w:tplc="A95262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2013133"/>
    <w:multiLevelType w:val="hybridMultilevel"/>
    <w:tmpl w:val="5AD4D03C"/>
    <w:lvl w:ilvl="0" w:tplc="42EE2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C683357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B5"/>
    <w:rsid w:val="00000453"/>
    <w:rsid w:val="00050C74"/>
    <w:rsid w:val="000725FF"/>
    <w:rsid w:val="000A0CBC"/>
    <w:rsid w:val="000D7674"/>
    <w:rsid w:val="000F1A85"/>
    <w:rsid w:val="000F790F"/>
    <w:rsid w:val="00107BA4"/>
    <w:rsid w:val="001352CA"/>
    <w:rsid w:val="00143172"/>
    <w:rsid w:val="001627B4"/>
    <w:rsid w:val="001771C9"/>
    <w:rsid w:val="001924B0"/>
    <w:rsid w:val="00194175"/>
    <w:rsid w:val="001A0622"/>
    <w:rsid w:val="001C6EDC"/>
    <w:rsid w:val="00215A77"/>
    <w:rsid w:val="002873B2"/>
    <w:rsid w:val="002C02B5"/>
    <w:rsid w:val="003512AD"/>
    <w:rsid w:val="0041431A"/>
    <w:rsid w:val="004208B4"/>
    <w:rsid w:val="0042145C"/>
    <w:rsid w:val="00515B5C"/>
    <w:rsid w:val="00524C19"/>
    <w:rsid w:val="00567D22"/>
    <w:rsid w:val="00584E2F"/>
    <w:rsid w:val="005F1A3D"/>
    <w:rsid w:val="00606DAB"/>
    <w:rsid w:val="00620EEB"/>
    <w:rsid w:val="00667943"/>
    <w:rsid w:val="00685640"/>
    <w:rsid w:val="006F60AB"/>
    <w:rsid w:val="00727198"/>
    <w:rsid w:val="00766A8D"/>
    <w:rsid w:val="007A363F"/>
    <w:rsid w:val="007F0A3F"/>
    <w:rsid w:val="008046BC"/>
    <w:rsid w:val="00833283"/>
    <w:rsid w:val="008626C9"/>
    <w:rsid w:val="008A52E8"/>
    <w:rsid w:val="00931560"/>
    <w:rsid w:val="00952F54"/>
    <w:rsid w:val="0096244F"/>
    <w:rsid w:val="009C678D"/>
    <w:rsid w:val="00A17A11"/>
    <w:rsid w:val="00A221AB"/>
    <w:rsid w:val="00A23DC4"/>
    <w:rsid w:val="00A438CE"/>
    <w:rsid w:val="00A77B00"/>
    <w:rsid w:val="00AE6C4B"/>
    <w:rsid w:val="00B0046E"/>
    <w:rsid w:val="00B032E2"/>
    <w:rsid w:val="00B07A27"/>
    <w:rsid w:val="00B67093"/>
    <w:rsid w:val="00B85EA9"/>
    <w:rsid w:val="00BC134B"/>
    <w:rsid w:val="00C04068"/>
    <w:rsid w:val="00C14835"/>
    <w:rsid w:val="00C17791"/>
    <w:rsid w:val="00C378A0"/>
    <w:rsid w:val="00C40CC4"/>
    <w:rsid w:val="00C85533"/>
    <w:rsid w:val="00CB72AD"/>
    <w:rsid w:val="00D033F5"/>
    <w:rsid w:val="00D8732D"/>
    <w:rsid w:val="00E45AD2"/>
    <w:rsid w:val="00EC32B9"/>
    <w:rsid w:val="00F16D44"/>
    <w:rsid w:val="00F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0CFC"/>
  <w15:chartTrackingRefBased/>
  <w15:docId w15:val="{231F2E6D-660D-405A-B783-FBBC4D0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94175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19417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175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hd w:val="clear" w:color="auto" w:fill="FFFFFF"/>
    </w:rPr>
  </w:style>
  <w:style w:type="character" w:customStyle="1" w:styleId="a4">
    <w:name w:val="Основной текст_"/>
    <w:link w:val="3"/>
    <w:locked/>
    <w:rsid w:val="0019417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19417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21">
    <w:name w:val="Заголовок №2_"/>
    <w:link w:val="22"/>
    <w:locked/>
    <w:rsid w:val="00194175"/>
    <w:rPr>
      <w:b/>
      <w:bCs/>
      <w:spacing w:val="6"/>
      <w:shd w:val="clear" w:color="auto" w:fill="FFFFFF"/>
    </w:rPr>
  </w:style>
  <w:style w:type="paragraph" w:customStyle="1" w:styleId="22">
    <w:name w:val="Заголовок №2"/>
    <w:basedOn w:val="a"/>
    <w:link w:val="21"/>
    <w:rsid w:val="00194175"/>
    <w:pPr>
      <w:widowControl w:val="0"/>
      <w:shd w:val="clear" w:color="auto" w:fill="FFFFFF"/>
      <w:spacing w:after="60" w:line="240" w:lineRule="atLeast"/>
      <w:ind w:hanging="3820"/>
      <w:jc w:val="both"/>
      <w:outlineLvl w:val="1"/>
    </w:pPr>
    <w:rPr>
      <w:b/>
      <w:bCs/>
      <w:spacing w:val="6"/>
      <w:shd w:val="clear" w:color="auto" w:fill="FFFFFF"/>
    </w:rPr>
  </w:style>
  <w:style w:type="character" w:customStyle="1" w:styleId="1">
    <w:name w:val="Основной текст1"/>
    <w:rsid w:val="0019417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5">
    <w:name w:val="Подпись к таблице_"/>
    <w:link w:val="a6"/>
    <w:locked/>
    <w:rsid w:val="00194175"/>
    <w:rPr>
      <w:spacing w:val="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94175"/>
    <w:pPr>
      <w:widowControl w:val="0"/>
      <w:shd w:val="clear" w:color="auto" w:fill="FFFFFF"/>
      <w:spacing w:after="0" w:line="365" w:lineRule="exact"/>
    </w:pPr>
    <w:rPr>
      <w:spacing w:val="5"/>
      <w:shd w:val="clear" w:color="auto" w:fill="FFFFFF"/>
    </w:rPr>
  </w:style>
  <w:style w:type="paragraph" w:customStyle="1" w:styleId="Textbody">
    <w:name w:val="Text body"/>
    <w:basedOn w:val="a"/>
    <w:uiPriority w:val="99"/>
    <w:rsid w:val="00194175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2E8"/>
  </w:style>
  <w:style w:type="paragraph" w:styleId="a9">
    <w:name w:val="footer"/>
    <w:basedOn w:val="a"/>
    <w:link w:val="aa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2E8"/>
  </w:style>
  <w:style w:type="paragraph" w:styleId="ab">
    <w:name w:val="Balloon Text"/>
    <w:basedOn w:val="a"/>
    <w:link w:val="ac"/>
    <w:uiPriority w:val="99"/>
    <w:semiHidden/>
    <w:unhideWhenUsed/>
    <w:rsid w:val="004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31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2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57</cp:revision>
  <cp:lastPrinted>2020-09-08T07:00:00Z</cp:lastPrinted>
  <dcterms:created xsi:type="dcterms:W3CDTF">2020-07-24T07:23:00Z</dcterms:created>
  <dcterms:modified xsi:type="dcterms:W3CDTF">2020-10-28T06:57:00Z</dcterms:modified>
</cp:coreProperties>
</file>