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CF1" w:rsidRPr="00F713D4" w:rsidRDefault="00087CF1" w:rsidP="00242BE9">
      <w:pPr>
        <w:spacing w:after="0" w:line="240" w:lineRule="auto"/>
        <w:jc w:val="center"/>
        <w:rPr>
          <w:rFonts w:ascii="Times New Roman" w:hAnsi="Times New Roman" w:cs="Times New Roman"/>
          <w:b/>
          <w:sz w:val="28"/>
          <w:szCs w:val="28"/>
          <w:lang w:val="uk-UA"/>
        </w:rPr>
      </w:pPr>
      <w:bookmarkStart w:id="0" w:name="_GoBack"/>
      <w:bookmarkEnd w:id="0"/>
      <w:r w:rsidRPr="00F713D4">
        <w:rPr>
          <w:rFonts w:ascii="Times New Roman" w:hAnsi="Times New Roman" w:cs="Times New Roman"/>
          <w:b/>
          <w:sz w:val="28"/>
          <w:szCs w:val="28"/>
          <w:lang w:val="uk-UA"/>
        </w:rPr>
        <w:t>АНАЛІЗ РЕГУЛЯТОРНОГО ВПЛИВУ</w:t>
      </w:r>
    </w:p>
    <w:p w:rsidR="00DC3789" w:rsidRPr="00DC3789" w:rsidRDefault="00DC3789" w:rsidP="00242BE9">
      <w:pPr>
        <w:spacing w:after="0" w:line="240" w:lineRule="auto"/>
        <w:jc w:val="center"/>
        <w:rPr>
          <w:rFonts w:ascii="Times New Roman" w:hAnsi="Times New Roman" w:cs="Times New Roman"/>
          <w:b/>
          <w:bCs/>
          <w:sz w:val="28"/>
          <w:szCs w:val="28"/>
          <w:lang w:val="uk-UA"/>
        </w:rPr>
      </w:pPr>
      <w:r w:rsidRPr="00DC3789">
        <w:rPr>
          <w:rFonts w:ascii="Times New Roman" w:hAnsi="Times New Roman" w:cs="Times New Roman"/>
          <w:b/>
          <w:sz w:val="28"/>
          <w:szCs w:val="28"/>
          <w:lang w:val="uk-UA"/>
        </w:rPr>
        <w:t xml:space="preserve">до проекту наказу Міністерства екології та природних ресурсів України «Про затвердження Інструкції про зміст, оформлення та порядок подання </w:t>
      </w:r>
      <w:r w:rsidR="00C328A3" w:rsidRPr="00C328A3">
        <w:rPr>
          <w:rFonts w:ascii="Times New Roman" w:hAnsi="Times New Roman" w:cs="Times New Roman"/>
          <w:b/>
          <w:sz w:val="28"/>
          <w:szCs w:val="28"/>
          <w:lang w:val="uk-UA"/>
        </w:rPr>
        <w:t xml:space="preserve">в Державну комісію України по запасах корисних копалин </w:t>
      </w:r>
      <w:r w:rsidRPr="00DC3789">
        <w:rPr>
          <w:rFonts w:ascii="Times New Roman" w:hAnsi="Times New Roman" w:cs="Times New Roman"/>
          <w:b/>
          <w:sz w:val="28"/>
          <w:szCs w:val="28"/>
          <w:lang w:val="uk-UA"/>
        </w:rPr>
        <w:t>матеріалів геолого-економічної оцінки родовищ нафти і газу</w:t>
      </w:r>
      <w:r w:rsidRPr="00DC3789">
        <w:rPr>
          <w:rFonts w:ascii="Times New Roman" w:hAnsi="Times New Roman" w:cs="Times New Roman"/>
          <w:b/>
          <w:bCs/>
          <w:sz w:val="28"/>
          <w:szCs w:val="28"/>
          <w:lang w:val="uk-UA"/>
        </w:rPr>
        <w:t>»</w:t>
      </w:r>
    </w:p>
    <w:p w:rsidR="0095042D" w:rsidRPr="008375B9" w:rsidRDefault="0095042D" w:rsidP="00242BE9">
      <w:pPr>
        <w:spacing w:after="0" w:line="240" w:lineRule="auto"/>
        <w:jc w:val="center"/>
        <w:rPr>
          <w:rFonts w:ascii="Times New Roman" w:hAnsi="Times New Roman" w:cs="Times New Roman"/>
          <w:b/>
          <w:lang w:val="uk-UA"/>
        </w:rPr>
      </w:pPr>
    </w:p>
    <w:p w:rsidR="00087CF1" w:rsidRPr="00B75B71" w:rsidRDefault="00087CF1" w:rsidP="00B75B71">
      <w:pPr>
        <w:pStyle w:val="a3"/>
        <w:numPr>
          <w:ilvl w:val="0"/>
          <w:numId w:val="5"/>
        </w:numPr>
        <w:spacing w:after="0" w:line="240" w:lineRule="auto"/>
        <w:jc w:val="center"/>
        <w:rPr>
          <w:rFonts w:ascii="Times New Roman" w:hAnsi="Times New Roman" w:cs="Times New Roman"/>
          <w:b/>
          <w:sz w:val="28"/>
          <w:szCs w:val="28"/>
          <w:lang w:val="uk-UA"/>
        </w:rPr>
      </w:pPr>
      <w:r w:rsidRPr="00B75B71">
        <w:rPr>
          <w:rFonts w:ascii="Times New Roman" w:hAnsi="Times New Roman" w:cs="Times New Roman"/>
          <w:b/>
          <w:sz w:val="28"/>
          <w:szCs w:val="28"/>
          <w:lang w:val="uk-UA"/>
        </w:rPr>
        <w:t>Визначення проблеми</w:t>
      </w:r>
    </w:p>
    <w:p w:rsidR="00B1429E" w:rsidRDefault="00B1429E" w:rsidP="00242BE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Наказом Державної комісії по запасах корисних копалин при Комітеті з питань геології та використання надр від 18 жовтня 1999 року № 120 «Про затвердження Інструкції про зміст, оформлення та порядок подання в ДКЗ України матеріалів геолого-економічної оцінки родовищ нафти і газу», зареєстрований в Міністерстві юстиції 10 грудня 1999 року за № 853/4146, встановлено основні вимоги до складу і змісту матеріалів з детальної геолого-економічної оцінки розвіданих родовищ (покладів) вуглеводнів і порядок подання їх на експертизу й оцінку Державною комісією по запасах корисних копалин.</w:t>
      </w:r>
    </w:p>
    <w:p w:rsidR="00EF29DB" w:rsidRDefault="00B05566" w:rsidP="00242BE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Зазначений нормативно-правовий акт було видано відповідно до статті 45 Кодексу України про надра та підпункту «м» </w:t>
      </w:r>
      <w:r w:rsidR="006633F3">
        <w:rPr>
          <w:rFonts w:ascii="Times New Roman" w:hAnsi="Times New Roman" w:cs="Times New Roman"/>
          <w:sz w:val="28"/>
          <w:szCs w:val="28"/>
          <w:lang w:val="uk-UA"/>
        </w:rPr>
        <w:t xml:space="preserve">пункту 4 Положення про Державну комісію </w:t>
      </w:r>
      <w:r w:rsidR="006633F3" w:rsidRPr="006633F3">
        <w:rPr>
          <w:rFonts w:ascii="Times New Roman" w:hAnsi="Times New Roman" w:cs="Times New Roman"/>
          <w:sz w:val="28"/>
          <w:szCs w:val="28"/>
          <w:lang w:val="uk-UA"/>
        </w:rPr>
        <w:t>по запасах корисних копалин при Комітеті з питань геології та використання надр</w:t>
      </w:r>
      <w:r w:rsidR="006633F3">
        <w:rPr>
          <w:rFonts w:ascii="Times New Roman" w:hAnsi="Times New Roman" w:cs="Times New Roman"/>
          <w:sz w:val="28"/>
          <w:szCs w:val="28"/>
          <w:lang w:val="uk-UA"/>
        </w:rPr>
        <w:t>, затвердженого постановою Кабінету Міністрів України від 05 вересня 1992 року № 526.</w:t>
      </w:r>
    </w:p>
    <w:p w:rsidR="006633F3" w:rsidRDefault="003C7A85" w:rsidP="00242BE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Законом України від 16 жовтня 2012 року № 5456-</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«Про внесення змін до деяких законодавчих актів України щодо оптимізації повноважень органів виконавчої влади у сфері екології та природних ресурсів, у тому числі на місцевому рівні»</w:t>
      </w:r>
      <w:r w:rsidR="0097467B">
        <w:rPr>
          <w:rFonts w:ascii="Times New Roman" w:hAnsi="Times New Roman" w:cs="Times New Roman"/>
          <w:sz w:val="28"/>
          <w:szCs w:val="28"/>
          <w:lang w:val="uk-UA"/>
        </w:rPr>
        <w:t xml:space="preserve"> внесені</w:t>
      </w:r>
      <w:r>
        <w:rPr>
          <w:rFonts w:ascii="Times New Roman" w:hAnsi="Times New Roman" w:cs="Times New Roman"/>
          <w:sz w:val="28"/>
          <w:szCs w:val="28"/>
          <w:lang w:val="uk-UA"/>
        </w:rPr>
        <w:t xml:space="preserve"> зміни, зокрема до статті 45 Кодексу України про надра, згідно з якими повноваження щодо проведення експертизи кондицій на мінеральну сировину та запасів корисних копалин розвіданих родовищ, а також запасів корисних копалин, додатково розвіданих у процесі розробки родовищ, надано центральному органу виконавчої влади, що реалізує державну полі</w:t>
      </w:r>
      <w:r w:rsidR="0097467B">
        <w:rPr>
          <w:rFonts w:ascii="Times New Roman" w:hAnsi="Times New Roman" w:cs="Times New Roman"/>
          <w:sz w:val="28"/>
          <w:szCs w:val="28"/>
          <w:lang w:val="uk-UA"/>
        </w:rPr>
        <w:t>тику у сфері геологічного вивчення та раціонального використання надр (на сьогодні згідно з розділом ІІ 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w:t>
      </w:r>
      <w:r w:rsidR="00612238">
        <w:rPr>
          <w:rFonts w:ascii="Times New Roman" w:hAnsi="Times New Roman" w:cs="Times New Roman"/>
          <w:sz w:val="28"/>
          <w:szCs w:val="28"/>
          <w:lang w:val="uk-UA"/>
        </w:rPr>
        <w:t xml:space="preserve"> затвердженої постановою Кабінету Міністрів України від 10 вересня 2014 року № 442, це Державна служба геології та надр України).</w:t>
      </w:r>
    </w:p>
    <w:p w:rsidR="00612238" w:rsidRDefault="00612238" w:rsidP="00242BE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 цьому постанова Кабінету Міністрів України від 05 вересня 1992 року № 526 «</w:t>
      </w:r>
      <w:r w:rsidR="00E8638C">
        <w:rPr>
          <w:rFonts w:ascii="Times New Roman" w:hAnsi="Times New Roman" w:cs="Times New Roman"/>
          <w:sz w:val="28"/>
          <w:szCs w:val="28"/>
          <w:lang w:val="uk-UA"/>
        </w:rPr>
        <w:t xml:space="preserve">Питання </w:t>
      </w:r>
      <w:r w:rsidR="00E8638C" w:rsidRPr="00E8638C">
        <w:rPr>
          <w:rFonts w:ascii="Times New Roman" w:hAnsi="Times New Roman" w:cs="Times New Roman"/>
          <w:sz w:val="28"/>
          <w:szCs w:val="28"/>
          <w:lang w:val="uk-UA"/>
        </w:rPr>
        <w:t>Державної комісії по запасах корисних копалин при Комітеті з питань геології та використання надр</w:t>
      </w:r>
      <w:r w:rsidR="00E8638C">
        <w:rPr>
          <w:rFonts w:ascii="Times New Roman" w:hAnsi="Times New Roman" w:cs="Times New Roman"/>
          <w:sz w:val="28"/>
          <w:szCs w:val="28"/>
          <w:lang w:val="uk-UA"/>
        </w:rPr>
        <w:t>» визнана такою, що втратила чинність, згідно із пунктом 3 постанови Кабінету Міністрів України від 10 листопада 2000 року № 1689 «Про затвердження Положення про Державну комісію України по запасах корисних копалин».</w:t>
      </w:r>
    </w:p>
    <w:p w:rsidR="00A42709" w:rsidRDefault="00A42709" w:rsidP="00242BE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Також Міністерство юстиції України </w:t>
      </w:r>
      <w:r w:rsidR="00B226F5">
        <w:rPr>
          <w:rFonts w:ascii="Times New Roman" w:hAnsi="Times New Roman" w:cs="Times New Roman"/>
          <w:sz w:val="28"/>
          <w:szCs w:val="28"/>
          <w:lang w:val="uk-UA"/>
        </w:rPr>
        <w:t>на виконання абзацу третього пункту 2 постанови Кабінету Міністрів України від 28 грудня 1992 року № 731 «Про затвердження Положення про державну реєстрацію нормативно-</w:t>
      </w:r>
      <w:r w:rsidR="00B226F5">
        <w:rPr>
          <w:rFonts w:ascii="Times New Roman" w:hAnsi="Times New Roman" w:cs="Times New Roman"/>
          <w:sz w:val="28"/>
          <w:szCs w:val="28"/>
          <w:lang w:val="uk-UA"/>
        </w:rPr>
        <w:lastRenderedPageBreak/>
        <w:t xml:space="preserve">правових актів міністерств та інших органів виконавчої влади» </w:t>
      </w:r>
      <w:r>
        <w:rPr>
          <w:rFonts w:ascii="Times New Roman" w:hAnsi="Times New Roman" w:cs="Times New Roman"/>
          <w:sz w:val="28"/>
          <w:szCs w:val="28"/>
          <w:lang w:val="uk-UA"/>
        </w:rPr>
        <w:t xml:space="preserve">звернулось до Державної служби геології та надр України з пропозицією переглянути наказ </w:t>
      </w:r>
      <w:r w:rsidR="00B226F5" w:rsidRPr="00B226F5">
        <w:rPr>
          <w:rFonts w:ascii="Times New Roman" w:hAnsi="Times New Roman" w:cs="Times New Roman"/>
          <w:sz w:val="28"/>
          <w:szCs w:val="28"/>
          <w:lang w:val="uk-UA"/>
        </w:rPr>
        <w:t>Державної комісії по запасах корисних копалин при Комітеті з питань геології та використання надр від 18 жовтня 1999 року № 120 «Про затвердження Інструкції про зміст, оформлення та порядок подання в ДКЗ України матеріалів геолого-економічної оцінки родовищ нафти і газу», зареєстрований в Міністерстві юстиції 10 грудня 1999 року за № 853/4146</w:t>
      </w:r>
      <w:r w:rsidR="00B226F5">
        <w:rPr>
          <w:rFonts w:ascii="Times New Roman" w:hAnsi="Times New Roman" w:cs="Times New Roman"/>
          <w:sz w:val="28"/>
          <w:szCs w:val="28"/>
          <w:lang w:val="uk-UA"/>
        </w:rPr>
        <w:t>, з метою приведення у відповідність до Конституції та законодавства України.</w:t>
      </w:r>
    </w:p>
    <w:p w:rsidR="00EC7020" w:rsidRDefault="00E509A3" w:rsidP="00242BE9">
      <w:pPr>
        <w:pStyle w:val="a3"/>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Враховуючи вищезазначене, з метою </w:t>
      </w:r>
      <w:r w:rsidR="001B5C51">
        <w:rPr>
          <w:rFonts w:ascii="Times New Roman" w:hAnsi="Times New Roman" w:cs="Times New Roman"/>
          <w:sz w:val="28"/>
          <w:szCs w:val="28"/>
          <w:lang w:val="uk-UA"/>
        </w:rPr>
        <w:t xml:space="preserve">приведення </w:t>
      </w:r>
      <w:r w:rsidR="006952F0">
        <w:rPr>
          <w:rFonts w:ascii="Times New Roman" w:hAnsi="Times New Roman" w:cs="Times New Roman"/>
          <w:sz w:val="28"/>
          <w:szCs w:val="28"/>
          <w:lang w:val="uk-UA"/>
        </w:rPr>
        <w:t xml:space="preserve">у </w:t>
      </w:r>
      <w:r w:rsidR="001B5C51" w:rsidRPr="001B5C51">
        <w:rPr>
          <w:rFonts w:ascii="Times New Roman" w:hAnsi="Times New Roman" w:cs="Times New Roman"/>
          <w:sz w:val="28"/>
          <w:szCs w:val="28"/>
          <w:lang w:val="uk-UA"/>
        </w:rPr>
        <w:t>відповідність до Конституції та законодавства України</w:t>
      </w:r>
      <w:r w:rsidR="001B5C51">
        <w:rPr>
          <w:rFonts w:ascii="Times New Roman" w:hAnsi="Times New Roman" w:cs="Times New Roman"/>
          <w:sz w:val="28"/>
          <w:szCs w:val="28"/>
          <w:lang w:val="uk-UA"/>
        </w:rPr>
        <w:t xml:space="preserve">, </w:t>
      </w:r>
      <w:r w:rsidR="00EC7020" w:rsidRPr="00EC7020">
        <w:rPr>
          <w:rFonts w:ascii="Times New Roman" w:hAnsi="Times New Roman" w:cs="Times New Roman"/>
          <w:sz w:val="28"/>
          <w:szCs w:val="28"/>
          <w:lang w:val="uk-UA"/>
        </w:rPr>
        <w:t>недопущення скасування державної реєстрації нормативно-правового акту</w:t>
      </w:r>
      <w:r w:rsidR="001B5C51">
        <w:rPr>
          <w:rFonts w:ascii="Times New Roman" w:hAnsi="Times New Roman" w:cs="Times New Roman"/>
          <w:sz w:val="28"/>
          <w:szCs w:val="28"/>
          <w:lang w:val="uk-UA"/>
        </w:rPr>
        <w:t>, а також</w:t>
      </w:r>
      <w:r w:rsidR="00EC7020">
        <w:rPr>
          <w:rFonts w:ascii="Times New Roman" w:hAnsi="Times New Roman" w:cs="Times New Roman"/>
          <w:sz w:val="28"/>
          <w:szCs w:val="28"/>
          <w:lang w:val="uk-UA"/>
        </w:rPr>
        <w:t xml:space="preserve"> захисту результативної, налагодженої роками процедури незалежної експертизи та оцінки запасів корисних копалин </w:t>
      </w:r>
      <w:r w:rsidR="00EC7020" w:rsidRPr="00EC7020">
        <w:rPr>
          <w:rFonts w:ascii="Times New Roman" w:hAnsi="Times New Roman" w:cs="Times New Roman"/>
          <w:sz w:val="28"/>
          <w:szCs w:val="28"/>
          <w:lang w:val="uk-UA"/>
        </w:rPr>
        <w:t xml:space="preserve">Держгеонадрами </w:t>
      </w:r>
      <w:r w:rsidR="00EC7020">
        <w:rPr>
          <w:rFonts w:ascii="Times New Roman" w:hAnsi="Times New Roman" w:cs="Times New Roman"/>
          <w:sz w:val="28"/>
          <w:szCs w:val="28"/>
          <w:lang w:val="uk-UA"/>
        </w:rPr>
        <w:t xml:space="preserve">розроблено оновлену редакцію </w:t>
      </w:r>
      <w:r w:rsidR="00C328A3">
        <w:rPr>
          <w:rFonts w:ascii="Times New Roman" w:hAnsi="Times New Roman" w:cs="Times New Roman"/>
          <w:sz w:val="28"/>
          <w:szCs w:val="28"/>
          <w:lang w:val="uk-UA"/>
        </w:rPr>
        <w:t>Інструкції</w:t>
      </w:r>
      <w:r w:rsidR="00C328A3" w:rsidRPr="00C328A3">
        <w:rPr>
          <w:rFonts w:ascii="Times New Roman" w:hAnsi="Times New Roman" w:cs="Times New Roman"/>
          <w:sz w:val="28"/>
          <w:szCs w:val="28"/>
          <w:lang w:val="uk-UA"/>
        </w:rPr>
        <w:t xml:space="preserve"> про зміст, оформлення та порядок подання </w:t>
      </w:r>
      <w:r w:rsidR="00C328A3">
        <w:rPr>
          <w:rFonts w:ascii="Times New Roman" w:hAnsi="Times New Roman" w:cs="Times New Roman"/>
          <w:sz w:val="28"/>
          <w:szCs w:val="28"/>
          <w:lang w:val="uk-UA"/>
        </w:rPr>
        <w:t xml:space="preserve">в </w:t>
      </w:r>
      <w:r w:rsidR="00C328A3" w:rsidRPr="00C328A3">
        <w:rPr>
          <w:rFonts w:ascii="Times New Roman" w:hAnsi="Times New Roman" w:cs="Times New Roman"/>
          <w:sz w:val="28"/>
          <w:szCs w:val="28"/>
          <w:lang w:val="uk-UA"/>
        </w:rPr>
        <w:t>Державну комісію України по запасах корисних копалин матеріалів геолого-економічної оцінки родовищ нафти і газу</w:t>
      </w:r>
      <w:r w:rsidR="00C328A3">
        <w:rPr>
          <w:rFonts w:ascii="Times New Roman" w:hAnsi="Times New Roman" w:cs="Times New Roman"/>
          <w:sz w:val="28"/>
          <w:szCs w:val="28"/>
          <w:lang w:val="uk-UA"/>
        </w:rPr>
        <w:t>.</w:t>
      </w:r>
    </w:p>
    <w:p w:rsidR="00B75B71" w:rsidRPr="008375B9" w:rsidRDefault="00B75B71" w:rsidP="00A975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lang w:val="uk-UA" w:eastAsia="uk-UA"/>
        </w:rPr>
      </w:pPr>
    </w:p>
    <w:p w:rsidR="00A9753F" w:rsidRPr="00A9753F" w:rsidRDefault="00A9753F" w:rsidP="00A975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eastAsia="Times New Roman" w:hAnsi="Times New Roman" w:cs="Times New Roman"/>
          <w:sz w:val="28"/>
          <w:szCs w:val="28"/>
          <w:lang w:val="uk-UA" w:eastAsia="uk-UA"/>
        </w:rPr>
      </w:pPr>
      <w:r w:rsidRPr="00A9753F">
        <w:rPr>
          <w:rFonts w:ascii="Times New Roman" w:eastAsia="Times New Roman" w:hAnsi="Times New Roman" w:cs="Times New Roman"/>
          <w:sz w:val="28"/>
          <w:szCs w:val="28"/>
          <w:lang w:val="uk-UA" w:eastAsia="uk-UA"/>
        </w:rPr>
        <w:t>Реалізація проекту акта вплине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213"/>
        <w:gridCol w:w="3202"/>
      </w:tblGrid>
      <w:tr w:rsidR="00A9753F" w:rsidRPr="00A9753F" w:rsidTr="00017F77">
        <w:tc>
          <w:tcPr>
            <w:tcW w:w="3325"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uk-UA" w:eastAsia="uk-UA"/>
              </w:rPr>
            </w:pPr>
            <w:r w:rsidRPr="00A9753F">
              <w:rPr>
                <w:rFonts w:ascii="Times New Roman" w:eastAsia="Times New Roman" w:hAnsi="Times New Roman" w:cs="Times New Roman"/>
                <w:bCs/>
                <w:sz w:val="28"/>
                <w:szCs w:val="28"/>
                <w:lang w:val="uk-UA" w:eastAsia="uk-UA"/>
              </w:rPr>
              <w:t>Групи (підгрупи)</w:t>
            </w:r>
          </w:p>
        </w:tc>
        <w:tc>
          <w:tcPr>
            <w:tcW w:w="3213"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uk-UA" w:eastAsia="uk-UA"/>
              </w:rPr>
            </w:pPr>
            <w:r w:rsidRPr="00A9753F">
              <w:rPr>
                <w:rFonts w:ascii="Times New Roman" w:eastAsia="Times New Roman" w:hAnsi="Times New Roman" w:cs="Times New Roman"/>
                <w:bCs/>
                <w:sz w:val="28"/>
                <w:szCs w:val="28"/>
                <w:lang w:val="uk-UA" w:eastAsia="uk-UA"/>
              </w:rPr>
              <w:t>Так</w:t>
            </w:r>
          </w:p>
        </w:tc>
        <w:tc>
          <w:tcPr>
            <w:tcW w:w="3202"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uk-UA" w:eastAsia="uk-UA"/>
              </w:rPr>
            </w:pPr>
            <w:r w:rsidRPr="00A9753F">
              <w:rPr>
                <w:rFonts w:ascii="Times New Roman" w:eastAsia="Times New Roman" w:hAnsi="Times New Roman" w:cs="Times New Roman"/>
                <w:bCs/>
                <w:sz w:val="28"/>
                <w:szCs w:val="28"/>
                <w:lang w:val="uk-UA" w:eastAsia="uk-UA"/>
              </w:rPr>
              <w:t>Ні</w:t>
            </w:r>
          </w:p>
        </w:tc>
      </w:tr>
      <w:tr w:rsidR="00A9753F" w:rsidRPr="00A9753F" w:rsidTr="00017F77">
        <w:tc>
          <w:tcPr>
            <w:tcW w:w="3325" w:type="dxa"/>
          </w:tcPr>
          <w:p w:rsidR="00A9753F" w:rsidRPr="00A9753F" w:rsidRDefault="00A9753F" w:rsidP="00A9753F">
            <w:pPr>
              <w:spacing w:after="0" w:line="240" w:lineRule="auto"/>
              <w:jc w:val="both"/>
              <w:rPr>
                <w:rFonts w:ascii="Times New Roman" w:eastAsia="Times New Roman" w:hAnsi="Times New Roman" w:cs="Times New Roman"/>
                <w:bCs/>
                <w:sz w:val="28"/>
                <w:szCs w:val="28"/>
                <w:lang w:val="uk-UA" w:eastAsia="uk-UA"/>
              </w:rPr>
            </w:pPr>
            <w:r w:rsidRPr="00A9753F">
              <w:rPr>
                <w:rFonts w:ascii="Times New Roman" w:eastAsia="Times New Roman" w:hAnsi="Times New Roman" w:cs="Times New Roman"/>
                <w:bCs/>
                <w:sz w:val="28"/>
                <w:szCs w:val="28"/>
                <w:lang w:val="uk-UA" w:eastAsia="uk-UA"/>
              </w:rPr>
              <w:t>Громадяни</w:t>
            </w:r>
          </w:p>
        </w:tc>
        <w:tc>
          <w:tcPr>
            <w:tcW w:w="3213"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en-US" w:eastAsia="uk-UA"/>
              </w:rPr>
            </w:pPr>
          </w:p>
        </w:tc>
        <w:tc>
          <w:tcPr>
            <w:tcW w:w="3202"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en-US" w:eastAsia="uk-UA"/>
              </w:rPr>
            </w:pPr>
            <w:r w:rsidRPr="00A9753F">
              <w:rPr>
                <w:rFonts w:ascii="Times New Roman" w:eastAsia="Times New Roman" w:hAnsi="Times New Roman" w:cs="Times New Roman"/>
                <w:bCs/>
                <w:sz w:val="28"/>
                <w:szCs w:val="28"/>
                <w:lang w:val="en-US" w:eastAsia="uk-UA"/>
              </w:rPr>
              <w:t>+</w:t>
            </w:r>
          </w:p>
        </w:tc>
      </w:tr>
      <w:tr w:rsidR="00A9753F" w:rsidRPr="00A9753F" w:rsidTr="00017F77">
        <w:tc>
          <w:tcPr>
            <w:tcW w:w="3325" w:type="dxa"/>
          </w:tcPr>
          <w:p w:rsidR="00A9753F" w:rsidRPr="00A9753F" w:rsidRDefault="00A9753F" w:rsidP="00A9753F">
            <w:pPr>
              <w:spacing w:after="0" w:line="240" w:lineRule="auto"/>
              <w:jc w:val="both"/>
              <w:rPr>
                <w:rFonts w:ascii="Times New Roman" w:eastAsia="Times New Roman" w:hAnsi="Times New Roman" w:cs="Times New Roman"/>
                <w:bCs/>
                <w:sz w:val="28"/>
                <w:szCs w:val="28"/>
                <w:lang w:val="uk-UA" w:eastAsia="uk-UA"/>
              </w:rPr>
            </w:pPr>
            <w:r w:rsidRPr="00A9753F">
              <w:rPr>
                <w:rFonts w:ascii="Times New Roman" w:eastAsia="Times New Roman" w:hAnsi="Times New Roman" w:cs="Times New Roman"/>
                <w:bCs/>
                <w:sz w:val="28"/>
                <w:szCs w:val="28"/>
                <w:lang w:val="uk-UA" w:eastAsia="uk-UA"/>
              </w:rPr>
              <w:t>Держава</w:t>
            </w:r>
          </w:p>
        </w:tc>
        <w:tc>
          <w:tcPr>
            <w:tcW w:w="3213" w:type="dxa"/>
          </w:tcPr>
          <w:p w:rsidR="00A9753F" w:rsidRPr="00A9753F" w:rsidRDefault="00017F77" w:rsidP="00017F77">
            <w:pPr>
              <w:spacing w:after="0" w:line="240" w:lineRule="auto"/>
              <w:jc w:val="center"/>
              <w:rPr>
                <w:rFonts w:ascii="Times New Roman" w:eastAsia="Times New Roman" w:hAnsi="Times New Roman" w:cs="Times New Roman"/>
                <w:bCs/>
                <w:sz w:val="28"/>
                <w:szCs w:val="28"/>
                <w:lang w:val="uk-UA" w:eastAsia="uk-UA"/>
              </w:rPr>
            </w:pPr>
            <w:r w:rsidRPr="00017F77">
              <w:rPr>
                <w:rFonts w:ascii="Times New Roman" w:eastAsia="Times New Roman" w:hAnsi="Times New Roman" w:cs="Times New Roman"/>
                <w:bCs/>
                <w:sz w:val="28"/>
                <w:szCs w:val="28"/>
                <w:lang w:val="uk-UA" w:eastAsia="uk-UA"/>
              </w:rPr>
              <w:t>+</w:t>
            </w:r>
          </w:p>
        </w:tc>
        <w:tc>
          <w:tcPr>
            <w:tcW w:w="3202"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en-US" w:eastAsia="uk-UA"/>
              </w:rPr>
            </w:pPr>
          </w:p>
        </w:tc>
      </w:tr>
      <w:tr w:rsidR="00A9753F" w:rsidRPr="00A9753F" w:rsidTr="00017F77">
        <w:tc>
          <w:tcPr>
            <w:tcW w:w="3325" w:type="dxa"/>
          </w:tcPr>
          <w:p w:rsidR="00A9753F" w:rsidRPr="00A9753F" w:rsidRDefault="00A9753F" w:rsidP="00A9753F">
            <w:pPr>
              <w:spacing w:after="0" w:line="240" w:lineRule="auto"/>
              <w:jc w:val="both"/>
              <w:rPr>
                <w:rFonts w:ascii="Times New Roman" w:eastAsia="Times New Roman" w:hAnsi="Times New Roman" w:cs="Times New Roman"/>
                <w:bCs/>
                <w:sz w:val="28"/>
                <w:szCs w:val="28"/>
                <w:lang w:val="uk-UA" w:eastAsia="uk-UA"/>
              </w:rPr>
            </w:pPr>
            <w:r w:rsidRPr="00A9753F">
              <w:rPr>
                <w:rFonts w:ascii="Times New Roman" w:eastAsia="Times New Roman" w:hAnsi="Times New Roman" w:cs="Times New Roman"/>
                <w:bCs/>
                <w:sz w:val="28"/>
                <w:szCs w:val="28"/>
                <w:lang w:val="uk-UA" w:eastAsia="uk-UA"/>
              </w:rPr>
              <w:t>Суб</w:t>
            </w:r>
            <w:r w:rsidRPr="00A9753F">
              <w:rPr>
                <w:rFonts w:ascii="Times New Roman" w:eastAsia="Times New Roman" w:hAnsi="Times New Roman" w:cs="Times New Roman"/>
                <w:bCs/>
                <w:sz w:val="28"/>
                <w:szCs w:val="28"/>
                <w:lang w:val="en-US" w:eastAsia="uk-UA"/>
              </w:rPr>
              <w:t>’</w:t>
            </w:r>
            <w:r w:rsidRPr="00A9753F">
              <w:rPr>
                <w:rFonts w:ascii="Times New Roman" w:eastAsia="Times New Roman" w:hAnsi="Times New Roman" w:cs="Times New Roman"/>
                <w:bCs/>
                <w:sz w:val="28"/>
                <w:szCs w:val="28"/>
                <w:lang w:val="uk-UA" w:eastAsia="uk-UA"/>
              </w:rPr>
              <w:t xml:space="preserve">єкти господарювання </w:t>
            </w:r>
          </w:p>
        </w:tc>
        <w:tc>
          <w:tcPr>
            <w:tcW w:w="3213" w:type="dxa"/>
          </w:tcPr>
          <w:p w:rsidR="00A9753F" w:rsidRPr="00A9753F" w:rsidRDefault="00A9753F" w:rsidP="00A9753F">
            <w:pPr>
              <w:spacing w:after="0" w:line="240" w:lineRule="auto"/>
              <w:jc w:val="center"/>
              <w:rPr>
                <w:rFonts w:ascii="Times New Roman" w:eastAsia="Times New Roman" w:hAnsi="Times New Roman" w:cs="Times New Roman"/>
                <w:bCs/>
                <w:sz w:val="28"/>
                <w:szCs w:val="28"/>
                <w:lang w:val="en-US" w:eastAsia="uk-UA"/>
              </w:rPr>
            </w:pPr>
            <w:r w:rsidRPr="00A9753F">
              <w:rPr>
                <w:rFonts w:ascii="Times New Roman" w:eastAsia="Times New Roman" w:hAnsi="Times New Roman" w:cs="Times New Roman"/>
                <w:bCs/>
                <w:sz w:val="28"/>
                <w:szCs w:val="28"/>
                <w:lang w:val="en-US" w:eastAsia="uk-UA"/>
              </w:rPr>
              <w:t>+</w:t>
            </w:r>
          </w:p>
        </w:tc>
        <w:tc>
          <w:tcPr>
            <w:tcW w:w="3202" w:type="dxa"/>
          </w:tcPr>
          <w:p w:rsidR="00A9753F" w:rsidRPr="00A9753F" w:rsidRDefault="00A9753F" w:rsidP="00A9753F">
            <w:pPr>
              <w:spacing w:after="0" w:line="240" w:lineRule="auto"/>
              <w:jc w:val="both"/>
              <w:rPr>
                <w:rFonts w:ascii="Times New Roman" w:eastAsia="Times New Roman" w:hAnsi="Times New Roman" w:cs="Times New Roman"/>
                <w:bCs/>
                <w:sz w:val="28"/>
                <w:szCs w:val="28"/>
                <w:lang w:val="uk-UA" w:eastAsia="uk-UA"/>
              </w:rPr>
            </w:pPr>
          </w:p>
        </w:tc>
      </w:tr>
    </w:tbl>
    <w:p w:rsidR="00B75B71" w:rsidRPr="008375B9" w:rsidRDefault="00B75B71" w:rsidP="00017F77">
      <w:pPr>
        <w:pStyle w:val="a3"/>
        <w:spacing w:after="0" w:line="240" w:lineRule="auto"/>
        <w:ind w:left="0" w:firstLine="709"/>
        <w:jc w:val="both"/>
        <w:rPr>
          <w:rFonts w:ascii="Times New Roman" w:hAnsi="Times New Roman" w:cs="Times New Roman"/>
          <w:lang w:val="uk-UA"/>
        </w:rPr>
      </w:pPr>
    </w:p>
    <w:p w:rsidR="00A9753F" w:rsidRDefault="00017F77" w:rsidP="00017F77">
      <w:pPr>
        <w:pStyle w:val="a3"/>
        <w:spacing w:after="0" w:line="240" w:lineRule="auto"/>
        <w:ind w:left="0" w:firstLine="709"/>
        <w:jc w:val="both"/>
        <w:rPr>
          <w:rFonts w:ascii="Times New Roman" w:hAnsi="Times New Roman" w:cs="Times New Roman"/>
          <w:sz w:val="28"/>
          <w:szCs w:val="28"/>
          <w:lang w:val="uk-UA"/>
        </w:rPr>
      </w:pPr>
      <w:r w:rsidRPr="00017F77">
        <w:rPr>
          <w:rFonts w:ascii="Times New Roman" w:hAnsi="Times New Roman" w:cs="Times New Roman"/>
          <w:sz w:val="28"/>
          <w:szCs w:val="28"/>
          <w:lang w:val="uk-UA"/>
        </w:rPr>
        <w:t>Нагальна необхідність державного обліку і звітності про результати геологорозвідувальних робіт та видобуток корисних копалин, а також періодичних геолого-економічних оцінок запасів родовищ корисних копалин (у тому числі нафти і газу) і їхньої державної експертизи, визначена низкою законодавчих актів України. У тому числі: ст. 43, 44, 45 Кодексу України про надра, ст. 31, 32, 33, 34 Закону України про нафту і газ та іншими.</w:t>
      </w:r>
      <w:r>
        <w:rPr>
          <w:rFonts w:ascii="Times New Roman" w:hAnsi="Times New Roman" w:cs="Times New Roman"/>
          <w:sz w:val="28"/>
          <w:szCs w:val="28"/>
          <w:lang w:val="uk-UA"/>
        </w:rPr>
        <w:t xml:space="preserve"> Тому п</w:t>
      </w:r>
      <w:r w:rsidRPr="00017F77">
        <w:rPr>
          <w:rFonts w:ascii="Times New Roman" w:hAnsi="Times New Roman" w:cs="Times New Roman"/>
          <w:sz w:val="28"/>
          <w:szCs w:val="28"/>
          <w:lang w:val="uk-UA"/>
        </w:rPr>
        <w:t>роект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 розроблено, як документ на допомогу користувачам надр в опрацюванні матеріалів геолого-економічних оцінок вуглеводнів, обов’язковість яких визначена законодавством України. Відсутність Інструкції унеможливить регулювання відносин у сфері користування нафтогазоносними надрами.</w:t>
      </w:r>
    </w:p>
    <w:p w:rsidR="00D51BAB" w:rsidRPr="00D51BAB" w:rsidRDefault="00D51BAB" w:rsidP="00D51BAB">
      <w:pPr>
        <w:spacing w:after="0" w:line="240" w:lineRule="auto"/>
        <w:ind w:firstLine="709"/>
        <w:contextualSpacing/>
        <w:jc w:val="both"/>
        <w:rPr>
          <w:rFonts w:ascii="Times New Roman" w:eastAsia="Times New Roman" w:hAnsi="Times New Roman" w:cs="Times New Roman"/>
          <w:sz w:val="28"/>
          <w:szCs w:val="28"/>
          <w:lang w:val="uk-UA" w:eastAsia="ru-RU"/>
        </w:rPr>
      </w:pPr>
      <w:r w:rsidRPr="00D51BAB">
        <w:rPr>
          <w:rFonts w:ascii="Times New Roman" w:eastAsia="Times New Roman" w:hAnsi="Times New Roman" w:cs="Times New Roman"/>
          <w:color w:val="000000"/>
          <w:sz w:val="28"/>
          <w:szCs w:val="28"/>
          <w:lang w:val="uk-UA" w:eastAsia="ru-RU"/>
        </w:rPr>
        <w:t xml:space="preserve">Проблема, яку вирішує нормативно-правовий акт - це </w:t>
      </w:r>
      <w:r w:rsidRPr="00D51BAB">
        <w:rPr>
          <w:rFonts w:ascii="Times New Roman" w:eastAsia="Times New Roman" w:hAnsi="Times New Roman" w:cs="Times New Roman"/>
          <w:sz w:val="28"/>
          <w:szCs w:val="28"/>
          <w:lang w:val="uk-UA" w:eastAsia="ru-RU"/>
        </w:rPr>
        <w:t>допомога користувачам надр в опрацюванні матеріалів з підрахунку запасів вуглеводнів та геолого-економічної оцінки їх родовищ за єдиними правилами.</w:t>
      </w:r>
    </w:p>
    <w:p w:rsidR="00D51BAB" w:rsidRPr="00D51BAB" w:rsidRDefault="00D51BAB" w:rsidP="00D51BAB">
      <w:pPr>
        <w:spacing w:after="0" w:line="240" w:lineRule="auto"/>
        <w:ind w:firstLine="709"/>
        <w:jc w:val="both"/>
        <w:rPr>
          <w:rFonts w:ascii="Times New Roman" w:eastAsia="Times New Roman" w:hAnsi="Times New Roman" w:cs="Times New Roman"/>
          <w:sz w:val="28"/>
          <w:szCs w:val="28"/>
          <w:lang w:val="uk-UA" w:eastAsia="ru-RU"/>
        </w:rPr>
      </w:pPr>
      <w:r w:rsidRPr="00D51BAB">
        <w:rPr>
          <w:rFonts w:ascii="Times New Roman" w:eastAsia="Times New Roman" w:hAnsi="Times New Roman" w:cs="Times New Roman"/>
          <w:color w:val="000000"/>
          <w:sz w:val="28"/>
          <w:szCs w:val="28"/>
          <w:lang w:val="uk-UA" w:eastAsia="ru-RU"/>
        </w:rPr>
        <w:t>Важливість підрахунку запасів нафти і газу полягає у тому, що держава і народ України повинен знати кількість балансових (видобувних) запасів нафти і газу для забезпечення власних потреб людей і промисловості на найближчий час (поточний рік) і потенціал видобутку нафти і газу на перспективу (у т</w:t>
      </w:r>
      <w:r>
        <w:rPr>
          <w:rFonts w:ascii="Times New Roman" w:eastAsia="Times New Roman" w:hAnsi="Times New Roman" w:cs="Times New Roman"/>
          <w:color w:val="000000"/>
          <w:sz w:val="28"/>
          <w:szCs w:val="28"/>
          <w:lang w:val="uk-UA" w:eastAsia="ru-RU"/>
        </w:rPr>
        <w:t xml:space="preserve">ому </w:t>
      </w:r>
      <w:r w:rsidRPr="00D51BAB">
        <w:rPr>
          <w:rFonts w:ascii="Times New Roman" w:eastAsia="Times New Roman" w:hAnsi="Times New Roman" w:cs="Times New Roman"/>
          <w:color w:val="000000"/>
          <w:sz w:val="28"/>
          <w:szCs w:val="28"/>
          <w:lang w:val="uk-UA" w:eastAsia="ru-RU"/>
        </w:rPr>
        <w:lastRenderedPageBreak/>
        <w:t>ч</w:t>
      </w:r>
      <w:r>
        <w:rPr>
          <w:rFonts w:ascii="Times New Roman" w:eastAsia="Times New Roman" w:hAnsi="Times New Roman" w:cs="Times New Roman"/>
          <w:color w:val="000000"/>
          <w:sz w:val="28"/>
          <w:szCs w:val="28"/>
          <w:lang w:val="uk-UA" w:eastAsia="ru-RU"/>
        </w:rPr>
        <w:t>ислі</w:t>
      </w:r>
      <w:r w:rsidRPr="00D51BAB">
        <w:rPr>
          <w:rFonts w:ascii="Times New Roman" w:eastAsia="Times New Roman" w:hAnsi="Times New Roman" w:cs="Times New Roman"/>
          <w:color w:val="000000"/>
          <w:sz w:val="28"/>
          <w:szCs w:val="28"/>
          <w:lang w:val="uk-UA" w:eastAsia="ru-RU"/>
        </w:rPr>
        <w:t xml:space="preserve"> кількість перспективних ресурсів нафти і газу для нарощування видобутку і переходу на повне забезпечення держави). Сьогодні власний видобуток газу за вісім місяців 2016 року становить </w:t>
      </w:r>
      <w:r w:rsidRPr="00D51BAB">
        <w:rPr>
          <w:rFonts w:ascii="Times New Roman" w:eastAsia="Times New Roman" w:hAnsi="Times New Roman" w:cs="Times New Roman"/>
          <w:sz w:val="28"/>
          <w:szCs w:val="28"/>
          <w:lang w:val="uk-UA" w:eastAsia="ru-RU"/>
        </w:rPr>
        <w:t>13,38 млрд. куб. м,</w:t>
      </w:r>
      <w:r w:rsidRPr="00D51BAB">
        <w:rPr>
          <w:rFonts w:ascii="Times New Roman" w:eastAsia="Times New Roman" w:hAnsi="Times New Roman" w:cs="Times New Roman"/>
          <w:color w:val="000000"/>
          <w:sz w:val="28"/>
          <w:szCs w:val="28"/>
          <w:lang w:val="uk-UA" w:eastAsia="ru-RU"/>
        </w:rPr>
        <w:t xml:space="preserve"> </w:t>
      </w:r>
      <w:r w:rsidRPr="00D51BAB">
        <w:rPr>
          <w:rFonts w:ascii="Times New Roman" w:eastAsia="Times New Roman" w:hAnsi="Times New Roman" w:cs="Times New Roman"/>
          <w:sz w:val="28"/>
          <w:szCs w:val="28"/>
          <w:lang w:val="uk-UA" w:eastAsia="ru-RU"/>
        </w:rPr>
        <w:t>в 2015 році становив 19,896 млрд. куб. м. За шість місяців 2016 року видобуто нафти становив 801,9 тис. т, газового конденсату - 315,3 тис. т, у 2015 році нафти видобуто 1 млн 805 600 т, газового конденсату - 656, 1 тис. т.</w:t>
      </w:r>
    </w:p>
    <w:p w:rsidR="00D51BAB" w:rsidRPr="008375B9" w:rsidRDefault="00D51BAB" w:rsidP="00017F77">
      <w:pPr>
        <w:pStyle w:val="a3"/>
        <w:spacing w:after="0" w:line="240" w:lineRule="auto"/>
        <w:ind w:left="0" w:firstLine="709"/>
        <w:jc w:val="both"/>
        <w:rPr>
          <w:rFonts w:ascii="Times New Roman" w:hAnsi="Times New Roman" w:cs="Times New Roman"/>
          <w:lang w:val="uk-UA"/>
        </w:rPr>
      </w:pPr>
    </w:p>
    <w:p w:rsidR="00087CF1" w:rsidRPr="00B75B71" w:rsidRDefault="00A9753F" w:rsidP="00B75B71">
      <w:pPr>
        <w:pStyle w:val="a3"/>
        <w:numPr>
          <w:ilvl w:val="0"/>
          <w:numId w:val="5"/>
        </w:numPr>
        <w:spacing w:line="240" w:lineRule="auto"/>
        <w:jc w:val="center"/>
        <w:rPr>
          <w:rFonts w:ascii="Times New Roman" w:hAnsi="Times New Roman" w:cs="Times New Roman"/>
          <w:b/>
          <w:sz w:val="28"/>
          <w:szCs w:val="28"/>
          <w:lang w:val="uk-UA"/>
        </w:rPr>
      </w:pPr>
      <w:r w:rsidRPr="00B75B71">
        <w:rPr>
          <w:rFonts w:ascii="Times New Roman" w:hAnsi="Times New Roman" w:cs="Times New Roman"/>
          <w:b/>
          <w:sz w:val="28"/>
          <w:szCs w:val="28"/>
          <w:lang w:val="uk-UA"/>
        </w:rPr>
        <w:t>Цілі державного регулювання</w:t>
      </w:r>
    </w:p>
    <w:p w:rsidR="00D51BAB" w:rsidRDefault="006952F0" w:rsidP="006952F0">
      <w:pPr>
        <w:pStyle w:val="a3"/>
        <w:spacing w:after="0" w:line="240" w:lineRule="auto"/>
        <w:ind w:left="0" w:firstLine="709"/>
        <w:jc w:val="both"/>
        <w:rPr>
          <w:rFonts w:ascii="Times New Roman" w:hAnsi="Times New Roman" w:cs="Times New Roman"/>
          <w:sz w:val="28"/>
          <w:szCs w:val="28"/>
          <w:lang w:val="uk-UA"/>
        </w:rPr>
      </w:pPr>
      <w:r w:rsidRPr="006952F0">
        <w:rPr>
          <w:rFonts w:ascii="Times New Roman" w:hAnsi="Times New Roman" w:cs="Times New Roman"/>
          <w:sz w:val="28"/>
          <w:szCs w:val="28"/>
          <w:lang w:val="uk-UA"/>
        </w:rPr>
        <w:t xml:space="preserve">Основною ціллю розробки та прийняття наказу </w:t>
      </w:r>
      <w:r w:rsidR="00DC3789" w:rsidRPr="00DC3789">
        <w:rPr>
          <w:rFonts w:ascii="Times New Roman" w:hAnsi="Times New Roman" w:cs="Times New Roman"/>
          <w:sz w:val="28"/>
          <w:szCs w:val="28"/>
          <w:lang w:val="uk-UA"/>
        </w:rPr>
        <w:t xml:space="preserve">є приведення нормативно-правового акта у </w:t>
      </w:r>
      <w:r w:rsidR="000E18A7">
        <w:rPr>
          <w:rFonts w:ascii="Times New Roman" w:hAnsi="Times New Roman" w:cs="Times New Roman"/>
          <w:sz w:val="28"/>
          <w:szCs w:val="28"/>
          <w:lang w:val="uk-UA"/>
        </w:rPr>
        <w:t xml:space="preserve">відповідність до </w:t>
      </w:r>
      <w:r w:rsidRPr="006952F0">
        <w:rPr>
          <w:rFonts w:ascii="Times New Roman" w:hAnsi="Times New Roman" w:cs="Times New Roman"/>
          <w:sz w:val="28"/>
          <w:szCs w:val="28"/>
          <w:lang w:val="uk-UA"/>
        </w:rPr>
        <w:t>Конституції та законодавства України</w:t>
      </w:r>
      <w:r w:rsidR="00A9753F">
        <w:rPr>
          <w:rFonts w:ascii="Times New Roman" w:hAnsi="Times New Roman" w:cs="Times New Roman"/>
          <w:sz w:val="28"/>
          <w:szCs w:val="28"/>
          <w:lang w:val="uk-UA"/>
        </w:rPr>
        <w:t>.</w:t>
      </w:r>
    </w:p>
    <w:p w:rsidR="00D51BAB" w:rsidRPr="00D51BAB" w:rsidRDefault="00D51BAB" w:rsidP="00D51BAB">
      <w:pPr>
        <w:spacing w:after="0" w:line="240" w:lineRule="auto"/>
        <w:ind w:firstLine="709"/>
        <w:jc w:val="both"/>
        <w:rPr>
          <w:rFonts w:ascii="Times New Roman" w:eastAsia="Times New Roman" w:hAnsi="Times New Roman" w:cs="Times New Roman"/>
          <w:sz w:val="28"/>
          <w:szCs w:val="28"/>
          <w:lang w:val="uk-UA" w:eastAsia="ru-RU"/>
        </w:rPr>
      </w:pPr>
      <w:r w:rsidRPr="00D51BAB">
        <w:rPr>
          <w:rFonts w:ascii="Times New Roman" w:eastAsia="Times New Roman" w:hAnsi="Times New Roman" w:cs="Times New Roman"/>
          <w:sz w:val="28"/>
          <w:szCs w:val="28"/>
          <w:lang w:val="uk-UA" w:eastAsia="ru-RU"/>
        </w:rPr>
        <w:t xml:space="preserve">Виконання підрахунку запасів родовищ нафти і газу та їх геолого-економічної оцінки визначена законодавством України і є підставою для переводу родовищ до промислової розробки, державного обліку, планування та використання. Відповідно до ст.36 Закону України про нафту і газ: «Для введення родовища (покладу) нафти і газу у промислову розробку користувач нафтогазоносними надрами повинен мати: «…затверджену в установленому порядку геолого-економічну оцінку запасів родовища (покладу) за результатами розвідувальних робіт». На затверджених </w:t>
      </w:r>
      <w:r w:rsidRPr="00D51BAB">
        <w:rPr>
          <w:rFonts w:ascii="Times New Roman" w:eastAsia="Times New Roman" w:hAnsi="Times New Roman" w:cs="Times New Roman"/>
          <w:color w:val="000000"/>
          <w:sz w:val="28"/>
          <w:szCs w:val="28"/>
          <w:lang w:val="uk-UA" w:eastAsia="ru-RU"/>
        </w:rPr>
        <w:t xml:space="preserve">ДКЗ </w:t>
      </w:r>
      <w:r w:rsidRPr="00D51BAB">
        <w:rPr>
          <w:rFonts w:ascii="Times New Roman" w:eastAsia="Times New Roman" w:hAnsi="Times New Roman" w:cs="Times New Roman"/>
          <w:sz w:val="28"/>
          <w:szCs w:val="28"/>
          <w:lang w:val="uk-UA" w:eastAsia="ru-RU"/>
        </w:rPr>
        <w:t>запасах, Міненерговугілля здійснює планування допустимого видобутку, визначає кількість нафти і газу які можна видобути без шкоди для надр і затверджує видобуток нафти і газу для держави у поточному році та найближчих 3-5 років. Згідно з Податковим Кодексом України показники рентабельності промислів, визначені під час геолого-економічної оцінки, враховуються під час оподаткування. Відсутність Інструкції унеможливить регулювання істотної частини відносин у сфері користування нафтогазоносними надрами.</w:t>
      </w:r>
    </w:p>
    <w:p w:rsidR="006952F0" w:rsidRPr="00D51BAB" w:rsidRDefault="00D51BAB" w:rsidP="00D51BAB">
      <w:pPr>
        <w:pStyle w:val="a3"/>
        <w:spacing w:after="0" w:line="240" w:lineRule="auto"/>
        <w:ind w:left="0" w:firstLine="709"/>
        <w:jc w:val="both"/>
        <w:rPr>
          <w:rFonts w:ascii="Times New Roman" w:hAnsi="Times New Roman" w:cs="Times New Roman"/>
          <w:sz w:val="28"/>
          <w:szCs w:val="28"/>
          <w:lang w:val="uk-UA"/>
        </w:rPr>
      </w:pPr>
      <w:r w:rsidRPr="00D51BAB">
        <w:rPr>
          <w:rFonts w:ascii="Times New Roman" w:eastAsia="Times New Roman" w:hAnsi="Times New Roman" w:cs="Times New Roman"/>
          <w:color w:val="000000"/>
          <w:sz w:val="28"/>
          <w:szCs w:val="28"/>
          <w:lang w:val="uk-UA" w:eastAsia="ru-RU"/>
        </w:rPr>
        <w:t>Без інформації щодо  реальної кількості  підрахованих запасів нафти і газу у надрах та їх геолого-економічної оцінки неможливо виконувати державні завдання щодо забезпечення енергонезалежності.</w:t>
      </w:r>
    </w:p>
    <w:p w:rsidR="00B75B71" w:rsidRPr="008375B9" w:rsidRDefault="00B75B71" w:rsidP="006952F0">
      <w:pPr>
        <w:pStyle w:val="a3"/>
        <w:spacing w:after="0" w:line="240" w:lineRule="auto"/>
        <w:ind w:left="0" w:firstLine="709"/>
        <w:jc w:val="both"/>
        <w:rPr>
          <w:rFonts w:ascii="Times New Roman" w:hAnsi="Times New Roman" w:cs="Times New Roman"/>
          <w:lang w:val="uk-UA"/>
        </w:rPr>
      </w:pPr>
    </w:p>
    <w:p w:rsidR="00B75B71" w:rsidRPr="00B75B71" w:rsidRDefault="00087CF1" w:rsidP="00B75B71">
      <w:pPr>
        <w:pStyle w:val="a3"/>
        <w:numPr>
          <w:ilvl w:val="0"/>
          <w:numId w:val="5"/>
        </w:numPr>
        <w:spacing w:line="240" w:lineRule="auto"/>
        <w:ind w:left="0" w:firstLine="709"/>
        <w:jc w:val="center"/>
        <w:rPr>
          <w:rFonts w:ascii="Times New Roman" w:hAnsi="Times New Roman" w:cs="Times New Roman"/>
          <w:sz w:val="28"/>
          <w:szCs w:val="28"/>
          <w:lang w:val="uk-UA"/>
        </w:rPr>
      </w:pPr>
      <w:r w:rsidRPr="00B75B71">
        <w:rPr>
          <w:rFonts w:ascii="Times New Roman" w:hAnsi="Times New Roman" w:cs="Times New Roman"/>
          <w:b/>
          <w:sz w:val="28"/>
          <w:szCs w:val="28"/>
          <w:lang w:val="uk-UA"/>
        </w:rPr>
        <w:t>Визначення та оцінка альтернативних способів досягнення цілей</w:t>
      </w:r>
    </w:p>
    <w:p w:rsidR="00B368D4" w:rsidRPr="00CA5C63" w:rsidRDefault="00B368D4" w:rsidP="00B368D4">
      <w:pPr>
        <w:pStyle w:val="a3"/>
        <w:spacing w:line="240" w:lineRule="auto"/>
        <w:jc w:val="both"/>
        <w:rPr>
          <w:rFonts w:ascii="Times New Roman" w:hAnsi="Times New Roman" w:cs="Times New Roman"/>
          <w:sz w:val="28"/>
          <w:szCs w:val="28"/>
        </w:rPr>
      </w:pPr>
      <w:r w:rsidRPr="00CA5C63">
        <w:rPr>
          <w:rFonts w:ascii="Times New Roman" w:hAnsi="Times New Roman" w:cs="Times New Roman"/>
          <w:sz w:val="28"/>
          <w:szCs w:val="28"/>
        </w:rPr>
        <w:t>1. Визначення альтернативних способів.</w:t>
      </w:r>
    </w:p>
    <w:p w:rsidR="00B368D4" w:rsidRPr="00CA5C63" w:rsidRDefault="00B368D4" w:rsidP="00B368D4">
      <w:pPr>
        <w:pStyle w:val="a3"/>
        <w:spacing w:line="240" w:lineRule="auto"/>
        <w:ind w:left="0" w:firstLine="720"/>
        <w:jc w:val="both"/>
        <w:rPr>
          <w:rFonts w:ascii="Times New Roman" w:hAnsi="Times New Roman" w:cs="Times New Roman"/>
          <w:sz w:val="28"/>
          <w:szCs w:val="28"/>
        </w:rPr>
      </w:pPr>
      <w:r w:rsidRPr="00CA5C63">
        <w:rPr>
          <w:rFonts w:ascii="Times New Roman" w:hAnsi="Times New Roman" w:cs="Times New Roman"/>
          <w:sz w:val="28"/>
          <w:szCs w:val="28"/>
        </w:rPr>
        <w:t>Існує два прийнятних альтернативних способи досягнення цілей державного регулювання встановленої 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206"/>
      </w:tblGrid>
      <w:tr w:rsidR="00B368D4" w:rsidRPr="00CA5C63" w:rsidTr="009E618A">
        <w:tc>
          <w:tcPr>
            <w:tcW w:w="4786" w:type="dxa"/>
          </w:tcPr>
          <w:p w:rsidR="00B368D4" w:rsidRPr="00CA5C63" w:rsidRDefault="00B368D4"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Вид альтернативи</w:t>
            </w:r>
          </w:p>
        </w:tc>
        <w:tc>
          <w:tcPr>
            <w:tcW w:w="5458" w:type="dxa"/>
          </w:tcPr>
          <w:p w:rsidR="00B368D4" w:rsidRPr="00CA5C63" w:rsidRDefault="00B368D4"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Опис альтернативи</w:t>
            </w:r>
          </w:p>
        </w:tc>
      </w:tr>
      <w:tr w:rsidR="00B368D4" w:rsidRPr="00CA5C63" w:rsidTr="009E618A">
        <w:tc>
          <w:tcPr>
            <w:tcW w:w="4786"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5458"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Зазначених спосіб не сприятиме приведенню підзаконного нормативно-правового акта у відповідність до змін у законодавстві.</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Користувачі надр не зможуть використовувати "Інструкцію..." як вичерпний нормативно-правовий документ, обов'язковий під час </w:t>
            </w:r>
            <w:r w:rsidRPr="00CA5C63">
              <w:rPr>
                <w:rFonts w:ascii="Times New Roman" w:eastAsia="Times New Roman" w:hAnsi="Times New Roman" w:cs="Times New Roman"/>
                <w:sz w:val="28"/>
                <w:szCs w:val="28"/>
                <w:lang w:eastAsia="ru-RU"/>
              </w:rPr>
              <w:lastRenderedPageBreak/>
              <w:t>державної експертизи і оцінки запасів і ресурсів нафти і газу, що негативно позначиться на регулюванні відносин у сфері користування нафтогазоносними надрами.</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hAnsi="Times New Roman"/>
                <w:sz w:val="28"/>
                <w:szCs w:val="28"/>
              </w:rPr>
              <w:t>Надрокористувачі нестимуть збитки при відмові у наданні чи продовженні строку дії, або зупинення дії спецдозволу на підставі відсутності затверджених запасів і, як наслідок, буде зупинена сплата загальнодержавних податків і зборів до бюджету.</w:t>
            </w:r>
          </w:p>
        </w:tc>
      </w:tr>
      <w:tr w:rsidR="00B368D4" w:rsidRPr="00CA5C63" w:rsidTr="009E618A">
        <w:tc>
          <w:tcPr>
            <w:tcW w:w="4786"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lastRenderedPageBreak/>
              <w:t>Альтернатива 2.</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Прийняття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p>
        </w:tc>
        <w:tc>
          <w:tcPr>
            <w:tcW w:w="5458" w:type="dxa"/>
          </w:tcPr>
          <w:p w:rsidR="00B368D4" w:rsidRPr="00CA5C63" w:rsidRDefault="00B368D4" w:rsidP="009E618A">
            <w:pPr>
              <w:autoSpaceDE w:val="0"/>
              <w:autoSpaceDN w:val="0"/>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Зазначений спосіб забезпечить приведення нормативно-правового акта у відповідність до Конституції та законодавства України, сприятиме  допомозі користувачам надр в опрацюванні геолого-економічних оцінок родовищ вуглеводнів</w:t>
            </w:r>
            <w:r w:rsidRPr="00CA5C63">
              <w:rPr>
                <w:rFonts w:ascii="Times New Roman" w:hAnsi="Times New Roman"/>
                <w:sz w:val="28"/>
                <w:szCs w:val="28"/>
              </w:rPr>
              <w:t xml:space="preserve"> (затвердженні запасів </w:t>
            </w:r>
            <w:r w:rsidRPr="00CA5C63">
              <w:rPr>
                <w:rFonts w:ascii="Times New Roman" w:eastAsia="Times New Roman" w:hAnsi="Times New Roman" w:cs="Times New Roman"/>
                <w:sz w:val="28"/>
                <w:szCs w:val="28"/>
                <w:lang w:eastAsia="ru-RU"/>
              </w:rPr>
              <w:t>вуглеводнів</w:t>
            </w:r>
            <w:r w:rsidRPr="00CA5C63">
              <w:rPr>
                <w:rFonts w:ascii="Times New Roman" w:hAnsi="Times New Roman"/>
                <w:sz w:val="28"/>
                <w:szCs w:val="28"/>
              </w:rPr>
              <w:t>)</w:t>
            </w:r>
            <w:r w:rsidRPr="00CA5C63">
              <w:rPr>
                <w:rFonts w:ascii="Times New Roman" w:eastAsia="Times New Roman" w:hAnsi="Times New Roman" w:cs="Times New Roman"/>
                <w:sz w:val="28"/>
                <w:szCs w:val="28"/>
                <w:lang w:eastAsia="ru-RU"/>
              </w:rPr>
              <w:t>, обов’язковість яких визначена законодавством України.</w:t>
            </w:r>
          </w:p>
          <w:p w:rsidR="00B368D4" w:rsidRPr="00CA5C63" w:rsidRDefault="00B368D4" w:rsidP="009E618A">
            <w:pPr>
              <w:autoSpaceDE w:val="0"/>
              <w:autoSpaceDN w:val="0"/>
              <w:spacing w:after="0" w:line="240" w:lineRule="auto"/>
              <w:jc w:val="both"/>
              <w:rPr>
                <w:rFonts w:ascii="Times New Roman" w:hAnsi="Times New Roman"/>
                <w:sz w:val="28"/>
                <w:szCs w:val="28"/>
              </w:rPr>
            </w:pPr>
            <w:r w:rsidRPr="00CA5C63">
              <w:rPr>
                <w:rFonts w:ascii="Times New Roman" w:hAnsi="Times New Roman"/>
                <w:sz w:val="28"/>
                <w:szCs w:val="28"/>
              </w:rPr>
              <w:t>За результатами затверджених запасів (</w:t>
            </w:r>
            <w:r w:rsidRPr="00CA5C63">
              <w:rPr>
                <w:rFonts w:ascii="Times New Roman" w:eastAsia="Times New Roman" w:hAnsi="Times New Roman" w:cs="Times New Roman"/>
                <w:sz w:val="28"/>
                <w:szCs w:val="28"/>
                <w:lang w:eastAsia="ru-RU"/>
              </w:rPr>
              <w:t>геолого-економічної оцінки родовищ)</w:t>
            </w:r>
            <w:r w:rsidRPr="00CA5C63">
              <w:rPr>
                <w:rFonts w:ascii="Times New Roman" w:hAnsi="Times New Roman"/>
                <w:sz w:val="28"/>
                <w:szCs w:val="28"/>
              </w:rPr>
              <w:t xml:space="preserve"> надрокористувачі продовжуватимуть дію спецдозволів (отримання нових спецдозволів) на користування надрами, продовжуватимуть видобування вуглеводнів і сплачування загальнодержавних податків і зборів до бюджету. </w:t>
            </w:r>
          </w:p>
          <w:p w:rsidR="00B368D4" w:rsidRPr="00CA5C63" w:rsidRDefault="00B368D4" w:rsidP="009E618A">
            <w:pPr>
              <w:autoSpaceDE w:val="0"/>
              <w:autoSpaceDN w:val="0"/>
              <w:spacing w:after="0" w:line="240" w:lineRule="auto"/>
              <w:jc w:val="both"/>
              <w:rPr>
                <w:rFonts w:ascii="Times New Roman" w:eastAsia="Times New Roman" w:hAnsi="Times New Roman" w:cs="Times New Roman"/>
                <w:sz w:val="28"/>
                <w:szCs w:val="28"/>
                <w:lang w:eastAsia="ru-RU"/>
              </w:rPr>
            </w:pPr>
          </w:p>
        </w:tc>
      </w:tr>
    </w:tbl>
    <w:p w:rsidR="00B368D4" w:rsidRPr="00CA5C63" w:rsidRDefault="00B368D4" w:rsidP="00B368D4">
      <w:pPr>
        <w:pStyle w:val="a3"/>
        <w:spacing w:line="240" w:lineRule="auto"/>
        <w:ind w:left="0" w:firstLine="720"/>
        <w:jc w:val="both"/>
        <w:rPr>
          <w:rFonts w:ascii="Times New Roman" w:hAnsi="Times New Roman" w:cs="Times New Roman"/>
        </w:rPr>
      </w:pPr>
    </w:p>
    <w:p w:rsidR="00B368D4" w:rsidRPr="00CA5C63" w:rsidRDefault="00B368D4" w:rsidP="00B368D4">
      <w:pPr>
        <w:spacing w:line="240" w:lineRule="auto"/>
        <w:ind w:firstLine="708"/>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2. Оцінка вибраних альтернативних способів досягнення цілей.</w:t>
      </w:r>
    </w:p>
    <w:p w:rsidR="00B368D4" w:rsidRPr="00CA5C63" w:rsidRDefault="00B368D4" w:rsidP="00B368D4">
      <w:pPr>
        <w:spacing w:after="0" w:line="240" w:lineRule="auto"/>
        <w:ind w:firstLine="708"/>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047"/>
        <w:gridCol w:w="3612"/>
      </w:tblGrid>
      <w:tr w:rsidR="00B368D4" w:rsidRPr="00CA5C63" w:rsidTr="009E618A">
        <w:tc>
          <w:tcPr>
            <w:tcW w:w="3081"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Вид альтернативи</w:t>
            </w:r>
          </w:p>
        </w:tc>
        <w:tc>
          <w:tcPr>
            <w:tcW w:w="3047"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Вигоди</w:t>
            </w:r>
          </w:p>
        </w:tc>
        <w:tc>
          <w:tcPr>
            <w:tcW w:w="3612"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Витрати</w:t>
            </w:r>
          </w:p>
        </w:tc>
      </w:tr>
      <w:tr w:rsidR="00B368D4" w:rsidRPr="00CA5C63" w:rsidTr="009E618A">
        <w:tc>
          <w:tcPr>
            <w:tcW w:w="3081"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3047" w:type="dxa"/>
          </w:tcPr>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Немає.</w:t>
            </w:r>
          </w:p>
          <w:p w:rsidR="00B368D4" w:rsidRPr="00CA5C63" w:rsidRDefault="00B368D4" w:rsidP="009E618A">
            <w:pPr>
              <w:spacing w:after="0" w:line="240" w:lineRule="auto"/>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Врегулювання існуючих проблем не буде досягнуто, із-за</w:t>
            </w:r>
          </w:p>
          <w:p w:rsidR="00B368D4" w:rsidRPr="00CA5C63" w:rsidRDefault="00B368D4" w:rsidP="009E618A">
            <w:pPr>
              <w:spacing w:after="0" w:line="240" w:lineRule="auto"/>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 xml:space="preserve">відсутності </w:t>
            </w:r>
            <w:r w:rsidRPr="00CA5C63">
              <w:rPr>
                <w:rFonts w:ascii="Times New Roman" w:eastAsia="Times New Roman" w:hAnsi="Times New Roman" w:cs="Times New Roman"/>
                <w:sz w:val="28"/>
                <w:szCs w:val="28"/>
                <w:lang w:eastAsia="ru-RU"/>
              </w:rPr>
              <w:t xml:space="preserve">державної реєстрації нормативно-правового акту, що </w:t>
            </w:r>
            <w:r w:rsidRPr="00CA5C63">
              <w:rPr>
                <w:rFonts w:ascii="Times New Roman" w:eastAsia="Times New Roman" w:hAnsi="Times New Roman" w:cs="Times New Roman"/>
                <w:sz w:val="28"/>
                <w:szCs w:val="28"/>
                <w:lang w:eastAsia="ru-RU"/>
              </w:rPr>
              <w:lastRenderedPageBreak/>
              <w:t>визначає єдині вимоги до змісту та порядку подання на державну експертизу матеріалів геолого-економічної оцінки родовища (затвердження запасів вуглеводнів).</w:t>
            </w:r>
          </w:p>
        </w:tc>
        <w:tc>
          <w:tcPr>
            <w:tcW w:w="3612" w:type="dxa"/>
          </w:tcPr>
          <w:p w:rsidR="00B368D4" w:rsidRPr="00CA5C63" w:rsidRDefault="00B368D4" w:rsidP="009E618A">
            <w:pPr>
              <w:spacing w:after="0" w:line="240" w:lineRule="auto"/>
              <w:jc w:val="both"/>
              <w:rPr>
                <w:rFonts w:ascii="Times New Roman" w:eastAsia="Times New Roman" w:hAnsi="Times New Roman" w:cs="Times New Roman"/>
                <w:bCs/>
                <w:sz w:val="28"/>
                <w:szCs w:val="28"/>
                <w:lang w:eastAsia="uk-UA"/>
              </w:rPr>
            </w:pPr>
            <w:r w:rsidRPr="00CA5C63">
              <w:rPr>
                <w:rFonts w:ascii="Times New Roman" w:eastAsia="Times New Roman" w:hAnsi="Times New Roman"/>
                <w:sz w:val="28"/>
                <w:szCs w:val="28"/>
                <w:lang w:eastAsia="ru-RU"/>
              </w:rPr>
              <w:lastRenderedPageBreak/>
              <w:t xml:space="preserve">Неприйняття проекту постанови призведе до зупинок та зростання суб'єктивності у процесі затвердження запасів вуглеводнів, а у наслідок </w:t>
            </w:r>
            <w:r w:rsidRPr="00CA5C63">
              <w:rPr>
                <w:rFonts w:ascii="Times New Roman" w:eastAsia="Times New Roman" w:hAnsi="Times New Roman"/>
                <w:sz w:val="28"/>
                <w:szCs w:val="28"/>
                <w:lang w:eastAsia="ru-RU"/>
              </w:rPr>
              <w:noBreakHyphen/>
              <w:t xml:space="preserve"> до зупинки </w:t>
            </w:r>
            <w:r w:rsidRPr="00CA5C63">
              <w:rPr>
                <w:rFonts w:ascii="Times New Roman" w:eastAsia="Times New Roman" w:hAnsi="Times New Roman"/>
                <w:sz w:val="28"/>
                <w:szCs w:val="28"/>
                <w:lang w:eastAsia="ru-RU"/>
              </w:rPr>
              <w:lastRenderedPageBreak/>
              <w:t xml:space="preserve">надання (продовження) спецдозволів і недоотримання державою рентної плати за користування надрами та інших </w:t>
            </w:r>
            <w:r w:rsidRPr="00CA5C63">
              <w:rPr>
                <w:rFonts w:ascii="Times New Roman" w:hAnsi="Times New Roman"/>
                <w:sz w:val="28"/>
                <w:szCs w:val="28"/>
              </w:rPr>
              <w:t>податків і зборів до бюджету.</w:t>
            </w:r>
          </w:p>
        </w:tc>
      </w:tr>
      <w:tr w:rsidR="00B368D4" w:rsidRPr="00CA5C63" w:rsidTr="009E618A">
        <w:tc>
          <w:tcPr>
            <w:tcW w:w="3081"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lastRenderedPageBreak/>
              <w:t>Альтернатива 2.</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Реєстрація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p w:rsidR="00B368D4" w:rsidRPr="00CA5C63" w:rsidRDefault="00B368D4" w:rsidP="009E618A">
            <w:pPr>
              <w:spacing w:after="0" w:line="240" w:lineRule="auto"/>
              <w:jc w:val="both"/>
              <w:rPr>
                <w:rFonts w:ascii="Times New Roman" w:eastAsia="Times New Roman" w:hAnsi="Times New Roman" w:cs="Times New Roman"/>
                <w:bCs/>
                <w:sz w:val="28"/>
                <w:szCs w:val="28"/>
                <w:lang w:eastAsia="uk-UA"/>
              </w:rPr>
            </w:pPr>
          </w:p>
        </w:tc>
        <w:tc>
          <w:tcPr>
            <w:tcW w:w="3047" w:type="dxa"/>
          </w:tcPr>
          <w:p w:rsidR="00B368D4" w:rsidRPr="00CA5C63" w:rsidRDefault="00B368D4" w:rsidP="009E618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sz w:val="28"/>
                <w:szCs w:val="28"/>
                <w:lang w:eastAsia="ru-RU"/>
              </w:rPr>
              <w:t>Належна реалізація державної політики у сфері користування нафтогазоносними надрами шляхом приведення нормативно-правового акта у відповідність до Конституції та законодавства України. Будуть визначені єдині принципи оформлення та порядку подання на державну експертизу матеріалів геолого-економічної оцінки родовища (затвердження запасів вуглеводнів), які унеможливлюють суб'єктивні підходи.</w:t>
            </w:r>
          </w:p>
        </w:tc>
        <w:tc>
          <w:tcPr>
            <w:tcW w:w="3612" w:type="dxa"/>
          </w:tcPr>
          <w:p w:rsidR="00B368D4" w:rsidRPr="00CA5C63" w:rsidRDefault="00B368D4" w:rsidP="009E618A">
            <w:pPr>
              <w:spacing w:after="0" w:line="240" w:lineRule="auto"/>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sz w:val="28"/>
                <w:szCs w:val="28"/>
                <w:lang w:eastAsia="ru-RU"/>
              </w:rPr>
              <w:t>Матеріали геолого-економічної оцінки родовища</w:t>
            </w:r>
            <w:r w:rsidRPr="00CA5C63">
              <w:rPr>
                <w:rFonts w:ascii="Times New Roman" w:eastAsia="Times New Roman" w:hAnsi="Times New Roman" w:cs="Times New Roman"/>
                <w:bCs/>
                <w:sz w:val="28"/>
                <w:szCs w:val="28"/>
                <w:lang w:eastAsia="uk-UA"/>
              </w:rPr>
              <w:t xml:space="preserve"> та протокол ДКЗ є документами, що свідчать про затвердження (апробацію) запасів вуглеводнів родовища.</w:t>
            </w:r>
          </w:p>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Прийняття проекту наказу надасть можливість надрокористувачам згідно із законодавством подавати оформлені належним чином (за єдиною обов'язковою для обох сторін раніше погодженою із ними формою) геолого-економічні оцінки родовищ. </w:t>
            </w:r>
          </w:p>
          <w:p w:rsidR="00B368D4" w:rsidRPr="00CA5C63" w:rsidRDefault="00B368D4" w:rsidP="009E618A">
            <w:pPr>
              <w:spacing w:after="0" w:line="240" w:lineRule="auto"/>
              <w:rPr>
                <w:rFonts w:ascii="Times New Roman" w:hAnsi="Times New Roman" w:cs="Times New Roman"/>
                <w:sz w:val="28"/>
                <w:szCs w:val="28"/>
              </w:rPr>
            </w:pPr>
            <w:r w:rsidRPr="00CA5C63">
              <w:rPr>
                <w:rFonts w:ascii="Times New Roman" w:eastAsia="Times New Roman" w:hAnsi="Times New Roman" w:cs="Times New Roman"/>
                <w:sz w:val="28"/>
                <w:szCs w:val="28"/>
                <w:lang w:eastAsia="ru-RU"/>
              </w:rPr>
              <w:t>Матеріали геолого-економічної оцінки родовищ</w:t>
            </w:r>
            <w:r w:rsidRPr="00CA5C63">
              <w:rPr>
                <w:rFonts w:ascii="Times New Roman" w:eastAsia="Times New Roman" w:hAnsi="Times New Roman" w:cs="Times New Roman"/>
                <w:bCs/>
                <w:sz w:val="28"/>
                <w:szCs w:val="28"/>
                <w:lang w:eastAsia="uk-UA"/>
              </w:rPr>
              <w:t xml:space="preserve"> та протоколи ДКЗ в подальшому передаються </w:t>
            </w:r>
            <w:r w:rsidRPr="00CA5C63">
              <w:rPr>
                <w:rFonts w:ascii="Times New Roman" w:hAnsi="Times New Roman" w:cs="Times New Roman"/>
                <w:sz w:val="28"/>
                <w:szCs w:val="28"/>
              </w:rPr>
              <w:t xml:space="preserve">Державній службі геології та надр України для зберігання державної геологічної інформації. </w:t>
            </w:r>
          </w:p>
          <w:p w:rsidR="00B368D4" w:rsidRPr="00CA5C63" w:rsidRDefault="00B368D4" w:rsidP="009E618A">
            <w:pPr>
              <w:spacing w:after="0" w:line="240" w:lineRule="auto"/>
              <w:rPr>
                <w:rFonts w:ascii="Times New Roman" w:eastAsia="Times New Roman" w:hAnsi="Times New Roman" w:cs="Times New Roman"/>
                <w:bCs/>
                <w:sz w:val="28"/>
                <w:szCs w:val="28"/>
                <w:lang w:eastAsia="uk-UA"/>
              </w:rPr>
            </w:pPr>
            <w:r w:rsidRPr="00CA5C63">
              <w:rPr>
                <w:rFonts w:ascii="Times New Roman" w:hAnsi="Times New Roman" w:cs="Times New Roman"/>
                <w:sz w:val="28"/>
                <w:szCs w:val="28"/>
              </w:rPr>
              <w:t>Під час надання (продовження) спецдозволів на користування надрами Державною службою геології та надр України використовуються належні</w:t>
            </w:r>
            <w:r w:rsidRPr="00CA5C63">
              <w:rPr>
                <w:rFonts w:ascii="Times New Roman" w:eastAsia="Times New Roman" w:hAnsi="Times New Roman" w:cs="Times New Roman"/>
                <w:bCs/>
                <w:sz w:val="28"/>
                <w:szCs w:val="28"/>
                <w:lang w:eastAsia="uk-UA"/>
              </w:rPr>
              <w:t xml:space="preserve"> висновки про затверджені запаси, їх межі відносно інших ділянок надр.</w:t>
            </w:r>
          </w:p>
          <w:p w:rsidR="00B368D4" w:rsidRPr="00CA5C63" w:rsidRDefault="00B368D4" w:rsidP="009E618A">
            <w:pPr>
              <w:spacing w:after="0" w:line="240" w:lineRule="auto"/>
              <w:rPr>
                <w:rFonts w:ascii="Times New Roman" w:hAnsi="Times New Roman"/>
                <w:sz w:val="28"/>
                <w:szCs w:val="28"/>
              </w:rPr>
            </w:pPr>
            <w:r w:rsidRPr="00CA5C63">
              <w:rPr>
                <w:rFonts w:ascii="Times New Roman" w:eastAsia="Times New Roman" w:hAnsi="Times New Roman" w:cs="Times New Roman"/>
                <w:bCs/>
                <w:sz w:val="28"/>
                <w:szCs w:val="28"/>
                <w:lang w:eastAsia="uk-UA"/>
              </w:rPr>
              <w:t xml:space="preserve">У разі відсутності </w:t>
            </w:r>
            <w:r w:rsidRPr="00CA5C63">
              <w:rPr>
                <w:rFonts w:ascii="Times New Roman" w:eastAsia="Times New Roman" w:hAnsi="Times New Roman" w:cs="Times New Roman"/>
                <w:bCs/>
                <w:sz w:val="28"/>
                <w:szCs w:val="28"/>
                <w:lang w:eastAsia="uk-UA"/>
              </w:rPr>
              <w:lastRenderedPageBreak/>
              <w:t xml:space="preserve">матеріалів </w:t>
            </w:r>
            <w:r w:rsidRPr="00CA5C63">
              <w:rPr>
                <w:rFonts w:ascii="Times New Roman" w:eastAsia="Times New Roman" w:hAnsi="Times New Roman" w:cs="Times New Roman"/>
                <w:sz w:val="28"/>
                <w:szCs w:val="28"/>
                <w:lang w:eastAsia="ru-RU"/>
              </w:rPr>
              <w:t>геолого-економічної оцінки родовища</w:t>
            </w:r>
            <w:r w:rsidRPr="00CA5C63">
              <w:rPr>
                <w:rFonts w:ascii="Times New Roman" w:eastAsia="Times New Roman" w:hAnsi="Times New Roman" w:cs="Times New Roman"/>
                <w:bCs/>
                <w:sz w:val="28"/>
                <w:szCs w:val="28"/>
                <w:lang w:eastAsia="uk-UA"/>
              </w:rPr>
              <w:t xml:space="preserve"> та протоколу ДКЗ </w:t>
            </w:r>
            <w:r w:rsidRPr="00CA5C63">
              <w:rPr>
                <w:rFonts w:ascii="Times New Roman" w:hAnsi="Times New Roman"/>
                <w:sz w:val="28"/>
                <w:szCs w:val="28"/>
              </w:rPr>
              <w:t>зупиняється дія спецдозволу і, як наслідок, видобуток вуглеводнів та відрахування загальнодержавних податків і зборів до бюджету.</w:t>
            </w:r>
          </w:p>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Крім того, за результатами затверджених запасів та протоколів ДКЗ, ведеться облік запасів та їх руху і складається Державний баланс запасів вуглеводнів. </w:t>
            </w:r>
          </w:p>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Об'єктивна інформація керівництву держави щодо кількості запасів і їх видобутку є основою енергетичної політики держави.</w:t>
            </w:r>
          </w:p>
          <w:p w:rsidR="00B368D4" w:rsidRPr="00CA5C63" w:rsidRDefault="00B368D4" w:rsidP="009E618A">
            <w:pPr>
              <w:spacing w:after="0" w:line="240" w:lineRule="auto"/>
              <w:rPr>
                <w:rFonts w:ascii="Times New Roman" w:eastAsia="Times New Roman" w:hAnsi="Times New Roman" w:cs="Times New Roman"/>
                <w:bCs/>
                <w:sz w:val="28"/>
                <w:szCs w:val="28"/>
                <w:lang w:eastAsia="uk-UA"/>
              </w:rPr>
            </w:pPr>
          </w:p>
        </w:tc>
      </w:tr>
    </w:tbl>
    <w:p w:rsidR="002008CC" w:rsidRPr="008375B9" w:rsidRDefault="002008CC" w:rsidP="00B75B71">
      <w:pPr>
        <w:pStyle w:val="a3"/>
        <w:spacing w:line="240" w:lineRule="auto"/>
        <w:ind w:left="0" w:firstLine="720"/>
        <w:jc w:val="both"/>
        <w:rPr>
          <w:rFonts w:ascii="Times New Roman" w:hAnsi="Times New Roman" w:cs="Times New Roman"/>
        </w:rPr>
      </w:pPr>
    </w:p>
    <w:p w:rsidR="00B368D4" w:rsidRPr="00CA5C63" w:rsidRDefault="00B368D4" w:rsidP="00B368D4">
      <w:pPr>
        <w:pStyle w:val="a3"/>
        <w:spacing w:after="0"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03"/>
        <w:gridCol w:w="3704"/>
      </w:tblGrid>
      <w:tr w:rsidR="00B368D4" w:rsidRPr="00CA5C63" w:rsidTr="009E618A">
        <w:tc>
          <w:tcPr>
            <w:tcW w:w="3227"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Вид альтернативи</w:t>
            </w:r>
          </w:p>
        </w:tc>
        <w:tc>
          <w:tcPr>
            <w:tcW w:w="3118"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Вигоди</w:t>
            </w:r>
          </w:p>
        </w:tc>
        <w:tc>
          <w:tcPr>
            <w:tcW w:w="3899"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Витрати</w:t>
            </w:r>
          </w:p>
        </w:tc>
      </w:tr>
      <w:tr w:rsidR="00B368D4" w:rsidRPr="00CA5C63" w:rsidTr="009E618A">
        <w:tc>
          <w:tcPr>
            <w:tcW w:w="3227"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3118" w:type="dxa"/>
          </w:tcPr>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Немає.</w:t>
            </w:r>
          </w:p>
        </w:tc>
        <w:tc>
          <w:tcPr>
            <w:tcW w:w="3899" w:type="dxa"/>
          </w:tcPr>
          <w:p w:rsidR="00B368D4" w:rsidRPr="00CA5C63" w:rsidRDefault="00B368D4" w:rsidP="009E618A">
            <w:pPr>
              <w:spacing w:after="0" w:line="240" w:lineRule="auto"/>
              <w:jc w:val="both"/>
              <w:rPr>
                <w:rFonts w:ascii="Times New Roman" w:hAnsi="Times New Roman"/>
                <w:sz w:val="28"/>
                <w:szCs w:val="28"/>
              </w:rPr>
            </w:pPr>
            <w:r w:rsidRPr="00CA5C63">
              <w:rPr>
                <w:rFonts w:ascii="Times New Roman" w:hAnsi="Times New Roman"/>
                <w:sz w:val="28"/>
                <w:szCs w:val="28"/>
              </w:rPr>
              <w:t>Можливі втрати відрахувань до бюджетної сфери держави від втрати рентних платежів нафтогазової галузі.</w:t>
            </w:r>
          </w:p>
          <w:p w:rsidR="00B368D4" w:rsidRPr="00CA5C63" w:rsidRDefault="00B368D4" w:rsidP="009E618A">
            <w:pPr>
              <w:spacing w:after="0" w:line="240" w:lineRule="auto"/>
              <w:jc w:val="both"/>
              <w:rPr>
                <w:rFonts w:ascii="Times New Roman" w:eastAsia="Times New Roman" w:hAnsi="Times New Roman" w:cs="Times New Roman"/>
                <w:bCs/>
                <w:sz w:val="28"/>
                <w:szCs w:val="28"/>
                <w:lang w:eastAsia="uk-UA"/>
              </w:rPr>
            </w:pPr>
          </w:p>
        </w:tc>
      </w:tr>
      <w:tr w:rsidR="00B368D4" w:rsidRPr="00CA5C63" w:rsidTr="009E618A">
        <w:tc>
          <w:tcPr>
            <w:tcW w:w="3227"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2.</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Реєстрація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w:t>
            </w:r>
            <w:r w:rsidRPr="00CA5C63">
              <w:rPr>
                <w:rFonts w:ascii="Times New Roman" w:eastAsia="Times New Roman" w:hAnsi="Times New Roman" w:cs="Times New Roman"/>
                <w:sz w:val="28"/>
                <w:szCs w:val="28"/>
                <w:lang w:eastAsia="ru-RU"/>
              </w:rPr>
              <w:lastRenderedPageBreak/>
              <w:t>матеріалів геолого-економічної оцінки родовищ нафти і газу».</w:t>
            </w:r>
          </w:p>
          <w:p w:rsidR="00B368D4" w:rsidRPr="00CA5C63" w:rsidRDefault="00B368D4" w:rsidP="009E618A">
            <w:pPr>
              <w:spacing w:after="0" w:line="240" w:lineRule="auto"/>
              <w:jc w:val="both"/>
              <w:rPr>
                <w:rFonts w:ascii="Times New Roman" w:eastAsia="Times New Roman" w:hAnsi="Times New Roman" w:cs="Times New Roman"/>
                <w:bCs/>
                <w:sz w:val="28"/>
                <w:szCs w:val="28"/>
                <w:lang w:eastAsia="uk-UA"/>
              </w:rPr>
            </w:pPr>
          </w:p>
        </w:tc>
        <w:tc>
          <w:tcPr>
            <w:tcW w:w="3118" w:type="dxa"/>
          </w:tcPr>
          <w:p w:rsidR="00B368D4" w:rsidRPr="00CA5C63" w:rsidRDefault="00B368D4" w:rsidP="009E61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lastRenderedPageBreak/>
              <w:t>Приведення нормативно-правового акта у відповідність до Конституції та законодавства України. Унеможливлення суб'єктивних підходів.</w:t>
            </w:r>
          </w:p>
          <w:p w:rsidR="00B368D4" w:rsidRPr="00CA5C63" w:rsidRDefault="00B368D4" w:rsidP="009E618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p>
        </w:tc>
        <w:tc>
          <w:tcPr>
            <w:tcW w:w="3899" w:type="dxa"/>
          </w:tcPr>
          <w:p w:rsidR="00B368D4" w:rsidRPr="00CA5C63" w:rsidRDefault="00B368D4" w:rsidP="009E618A">
            <w:pPr>
              <w:spacing w:after="0" w:line="240" w:lineRule="auto"/>
              <w:rPr>
                <w:rFonts w:ascii="Times New Roman" w:hAnsi="Times New Roman"/>
                <w:sz w:val="28"/>
                <w:szCs w:val="28"/>
              </w:rPr>
            </w:pPr>
            <w:r w:rsidRPr="00CA5C63">
              <w:rPr>
                <w:rFonts w:ascii="Times New Roman" w:hAnsi="Times New Roman"/>
                <w:sz w:val="28"/>
                <w:szCs w:val="28"/>
              </w:rPr>
              <w:t xml:space="preserve">Належна сплата загальнодержавних податків і зборів до бюджету, що прямо впливають на діяльність бюджетної сфери держави. </w:t>
            </w:r>
          </w:p>
          <w:p w:rsidR="00B368D4" w:rsidRPr="00CA5C63" w:rsidRDefault="00B368D4" w:rsidP="009E618A">
            <w:pPr>
              <w:spacing w:after="0" w:line="240" w:lineRule="auto"/>
              <w:rPr>
                <w:rFonts w:ascii="Times New Roman" w:eastAsia="Times New Roman" w:hAnsi="Times New Roman" w:cs="Times New Roman"/>
                <w:bCs/>
                <w:sz w:val="28"/>
                <w:szCs w:val="28"/>
                <w:lang w:eastAsia="uk-UA"/>
              </w:rPr>
            </w:pPr>
            <w:r w:rsidRPr="00CA5C63">
              <w:rPr>
                <w:rFonts w:ascii="Times New Roman" w:hAnsi="Times New Roman"/>
                <w:sz w:val="28"/>
                <w:szCs w:val="28"/>
              </w:rPr>
              <w:t>Частка фінансів, що поступає у державний бюджет від сплати за користування надрами загалом складає більше 60%.</w:t>
            </w:r>
          </w:p>
        </w:tc>
      </w:tr>
    </w:tbl>
    <w:p w:rsidR="00A66878" w:rsidRPr="00B368D4" w:rsidRDefault="00A66878" w:rsidP="00242BE9">
      <w:pPr>
        <w:pStyle w:val="a3"/>
        <w:spacing w:line="240" w:lineRule="auto"/>
        <w:ind w:left="0" w:firstLine="709"/>
        <w:jc w:val="both"/>
        <w:rPr>
          <w:rFonts w:ascii="Times New Roman" w:hAnsi="Times New Roman" w:cs="Times New Roman"/>
        </w:rPr>
      </w:pPr>
    </w:p>
    <w:p w:rsidR="00B368D4" w:rsidRPr="00CA5C63" w:rsidRDefault="00B368D4" w:rsidP="00B368D4">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Оцінка впливу на сферу інтересів суб’єктів господарювання.</w:t>
      </w:r>
    </w:p>
    <w:p w:rsidR="00B368D4" w:rsidRPr="00CA5C63" w:rsidRDefault="00B368D4" w:rsidP="00B368D4">
      <w:pPr>
        <w:pStyle w:val="a3"/>
        <w:spacing w:before="240" w:line="240" w:lineRule="auto"/>
        <w:ind w:left="0" w:firstLine="709"/>
        <w:jc w:val="both"/>
        <w:rPr>
          <w:rFonts w:ascii="Times New Roman" w:hAnsi="Times New Roman" w:cs="Times New Roman"/>
          <w:sz w:val="28"/>
          <w:szCs w:val="28"/>
        </w:rPr>
      </w:pPr>
    </w:p>
    <w:p w:rsidR="00B368D4" w:rsidRPr="00CA5C63" w:rsidRDefault="00B368D4" w:rsidP="00B368D4">
      <w:pPr>
        <w:pStyle w:val="a3"/>
        <w:spacing w:before="240"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Кількість суб’єктів господарювання, що підпадають під дію регулювання дорівнює кількості користувачів нафтогазоносними надрами.</w:t>
      </w:r>
    </w:p>
    <w:tbl>
      <w:tblPr>
        <w:tblW w:w="5000" w:type="pct"/>
        <w:tblCellSpacing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186"/>
        <w:gridCol w:w="1639"/>
        <w:gridCol w:w="1664"/>
        <w:gridCol w:w="1401"/>
        <w:gridCol w:w="1403"/>
        <w:gridCol w:w="1399"/>
      </w:tblGrid>
      <w:tr w:rsidR="00B368D4" w:rsidRPr="00CA5C63" w:rsidTr="009E618A">
        <w:trPr>
          <w:tblCellSpacing w:w="22" w:type="dxa"/>
        </w:trPr>
        <w:tc>
          <w:tcPr>
            <w:tcW w:w="1094"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Показник</w:t>
            </w:r>
          </w:p>
        </w:tc>
        <w:tc>
          <w:tcPr>
            <w:tcW w:w="823"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Великі</w:t>
            </w:r>
          </w:p>
        </w:tc>
        <w:tc>
          <w:tcPr>
            <w:tcW w:w="836"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Середні</w:t>
            </w:r>
          </w:p>
        </w:tc>
        <w:tc>
          <w:tcPr>
            <w:tcW w:w="700"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Малі</w:t>
            </w:r>
          </w:p>
        </w:tc>
        <w:tc>
          <w:tcPr>
            <w:tcW w:w="701"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Мікро</w:t>
            </w:r>
          </w:p>
        </w:tc>
        <w:tc>
          <w:tcPr>
            <w:tcW w:w="688"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Разом</w:t>
            </w:r>
          </w:p>
        </w:tc>
      </w:tr>
      <w:tr w:rsidR="00B368D4" w:rsidRPr="00CA5C63" w:rsidTr="009E618A">
        <w:trPr>
          <w:tblCellSpacing w:w="22" w:type="dxa"/>
        </w:trPr>
        <w:tc>
          <w:tcPr>
            <w:tcW w:w="1094" w:type="pct"/>
          </w:tcPr>
          <w:p w:rsidR="00B368D4" w:rsidRPr="00CA5C63" w:rsidRDefault="00B368D4" w:rsidP="009E618A">
            <w:pPr>
              <w:spacing w:after="0" w:line="240" w:lineRule="auto"/>
              <w:contextualSpacing/>
              <w:jc w:val="both"/>
              <w:rPr>
                <w:rFonts w:ascii="Times New Roman" w:hAnsi="Times New Roman"/>
                <w:sz w:val="28"/>
                <w:szCs w:val="28"/>
              </w:rPr>
            </w:pPr>
            <w:r w:rsidRPr="00CA5C63">
              <w:rPr>
                <w:rFonts w:ascii="Times New Roman" w:hAnsi="Times New Roman"/>
                <w:sz w:val="28"/>
                <w:szCs w:val="28"/>
              </w:rPr>
              <w:t>Кількість суб’єктів господарювання, що підпадають під дію регулювання, одиниць</w:t>
            </w:r>
          </w:p>
        </w:tc>
        <w:tc>
          <w:tcPr>
            <w:tcW w:w="823"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80</w:t>
            </w:r>
          </w:p>
        </w:tc>
        <w:tc>
          <w:tcPr>
            <w:tcW w:w="836"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20</w:t>
            </w:r>
          </w:p>
        </w:tc>
        <w:tc>
          <w:tcPr>
            <w:tcW w:w="700"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w:t>
            </w:r>
          </w:p>
        </w:tc>
        <w:tc>
          <w:tcPr>
            <w:tcW w:w="701"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w:t>
            </w:r>
          </w:p>
        </w:tc>
        <w:tc>
          <w:tcPr>
            <w:tcW w:w="688"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100</w:t>
            </w:r>
          </w:p>
        </w:tc>
      </w:tr>
      <w:tr w:rsidR="00B368D4" w:rsidRPr="00CA5C63" w:rsidTr="009E618A">
        <w:trPr>
          <w:tblCellSpacing w:w="22" w:type="dxa"/>
        </w:trPr>
        <w:tc>
          <w:tcPr>
            <w:tcW w:w="1094" w:type="pct"/>
          </w:tcPr>
          <w:p w:rsidR="00B368D4" w:rsidRPr="00CA5C63" w:rsidRDefault="00B368D4" w:rsidP="009E618A">
            <w:pPr>
              <w:spacing w:after="0" w:line="240" w:lineRule="auto"/>
              <w:contextualSpacing/>
              <w:jc w:val="both"/>
              <w:rPr>
                <w:rFonts w:ascii="Times New Roman" w:hAnsi="Times New Roman"/>
                <w:sz w:val="28"/>
                <w:szCs w:val="28"/>
              </w:rPr>
            </w:pPr>
            <w:r w:rsidRPr="00CA5C63">
              <w:rPr>
                <w:rFonts w:ascii="Times New Roman" w:hAnsi="Times New Roman"/>
                <w:sz w:val="28"/>
                <w:szCs w:val="28"/>
              </w:rPr>
              <w:t>Питома вага групи у загальній кількості, відсотків</w:t>
            </w:r>
          </w:p>
        </w:tc>
        <w:tc>
          <w:tcPr>
            <w:tcW w:w="823"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80</w:t>
            </w:r>
          </w:p>
        </w:tc>
        <w:tc>
          <w:tcPr>
            <w:tcW w:w="836"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20</w:t>
            </w:r>
          </w:p>
        </w:tc>
        <w:tc>
          <w:tcPr>
            <w:tcW w:w="700"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w:t>
            </w:r>
          </w:p>
        </w:tc>
        <w:tc>
          <w:tcPr>
            <w:tcW w:w="701"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w:t>
            </w:r>
          </w:p>
        </w:tc>
        <w:tc>
          <w:tcPr>
            <w:tcW w:w="688" w:type="pct"/>
          </w:tcPr>
          <w:p w:rsidR="00B368D4" w:rsidRPr="00CA5C63" w:rsidRDefault="00B368D4" w:rsidP="009E618A">
            <w:pPr>
              <w:spacing w:after="0" w:line="240" w:lineRule="auto"/>
              <w:contextualSpacing/>
              <w:jc w:val="center"/>
              <w:rPr>
                <w:rFonts w:ascii="Times New Roman" w:hAnsi="Times New Roman"/>
                <w:sz w:val="28"/>
                <w:szCs w:val="28"/>
              </w:rPr>
            </w:pPr>
            <w:r w:rsidRPr="00CA5C63">
              <w:rPr>
                <w:rFonts w:ascii="Times New Roman" w:hAnsi="Times New Roman"/>
                <w:sz w:val="28"/>
                <w:szCs w:val="28"/>
              </w:rPr>
              <w:t>100</w:t>
            </w:r>
          </w:p>
        </w:tc>
      </w:tr>
    </w:tbl>
    <w:p w:rsidR="00B368D4" w:rsidRPr="00CA5C63" w:rsidRDefault="00B368D4" w:rsidP="00B368D4">
      <w:pPr>
        <w:spacing w:after="0" w:line="240" w:lineRule="auto"/>
        <w:ind w:firstLine="709"/>
        <w:jc w:val="both"/>
        <w:rPr>
          <w:rFonts w:ascii="Times New Roman" w:eastAsia="Times New Roman" w:hAnsi="Times New Roman" w:cs="Times New Roman"/>
          <w:sz w:val="28"/>
          <w:szCs w:val="28"/>
          <w:lang w:eastAsia="ru-RU"/>
        </w:rPr>
      </w:pPr>
    </w:p>
    <w:p w:rsidR="00B368D4" w:rsidRPr="00CA5C63" w:rsidRDefault="00B368D4" w:rsidP="00B368D4">
      <w:pPr>
        <w:spacing w:after="0" w:line="240" w:lineRule="auto"/>
        <w:ind w:firstLine="709"/>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Всі суб’єкти господарювання, отримуючи у встановленому порядку спецдозволи на користування нафтогазоносними надрами, гарантували, що будуть бурити нові свердловини і належно звітувати про фактичний видобуток вуглеводнів. Більше 120 суб’єктів господарювання діють у нафтогазовому секторі і всі без виключення знаходяться під дією даного регулювання, відповідно до ст. 45 Кодексу України про надра та постанови Кабінету Міністрів України від 22.12.1994 № 865.</w:t>
      </w:r>
    </w:p>
    <w:p w:rsidR="00B368D4" w:rsidRPr="00CA5C63" w:rsidRDefault="00B368D4" w:rsidP="00B368D4">
      <w:pPr>
        <w:pStyle w:val="a3"/>
        <w:spacing w:line="240" w:lineRule="auto"/>
        <w:ind w:left="0"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2984"/>
        <w:gridCol w:w="3754"/>
      </w:tblGrid>
      <w:tr w:rsidR="00B368D4" w:rsidRPr="00CA5C63" w:rsidTr="009E618A">
        <w:tc>
          <w:tcPr>
            <w:tcW w:w="3227"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Вид альтернативи</w:t>
            </w:r>
          </w:p>
        </w:tc>
        <w:tc>
          <w:tcPr>
            <w:tcW w:w="3118"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Вигоди</w:t>
            </w:r>
          </w:p>
        </w:tc>
        <w:tc>
          <w:tcPr>
            <w:tcW w:w="3899" w:type="dxa"/>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Витрати</w:t>
            </w:r>
          </w:p>
        </w:tc>
      </w:tr>
      <w:tr w:rsidR="00B368D4" w:rsidRPr="00CA5C63" w:rsidTr="009E618A">
        <w:tc>
          <w:tcPr>
            <w:tcW w:w="3227"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3118" w:type="dxa"/>
          </w:tcPr>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Немає, </w:t>
            </w:r>
            <w:r w:rsidRPr="00CA5C63">
              <w:rPr>
                <w:rFonts w:ascii="Times New Roman" w:eastAsia="Times New Roman" w:hAnsi="Times New Roman"/>
                <w:sz w:val="28"/>
                <w:szCs w:val="28"/>
                <w:lang w:eastAsia="ru-RU"/>
              </w:rPr>
              <w:t>так як</w:t>
            </w:r>
            <w:r w:rsidRPr="00CA5C63">
              <w:rPr>
                <w:rFonts w:ascii="Times New Roman" w:eastAsia="Times New Roman" w:hAnsi="Times New Roman" w:cs="Times New Roman"/>
                <w:sz w:val="28"/>
                <w:szCs w:val="28"/>
                <w:lang w:eastAsia="ru-RU"/>
              </w:rPr>
              <w:t xml:space="preserve"> призведе до відсутності державної реєстрації нормативно-правового акту, що регулює єдині вимоги до змісту, оформлення та порядку подання на державну експертизу матеріалів геолого-</w:t>
            </w:r>
            <w:r w:rsidRPr="00CA5C63">
              <w:rPr>
                <w:rFonts w:ascii="Times New Roman" w:eastAsia="Times New Roman" w:hAnsi="Times New Roman" w:cs="Times New Roman"/>
                <w:sz w:val="28"/>
                <w:szCs w:val="28"/>
                <w:lang w:eastAsia="ru-RU"/>
              </w:rPr>
              <w:lastRenderedPageBreak/>
              <w:t>економічної оцінки родовища (затвердження запасів вуглеводнів).</w:t>
            </w:r>
          </w:p>
        </w:tc>
        <w:tc>
          <w:tcPr>
            <w:tcW w:w="3899" w:type="dxa"/>
          </w:tcPr>
          <w:p w:rsidR="00B368D4" w:rsidRPr="00CA5C63" w:rsidRDefault="00B368D4" w:rsidP="009E618A">
            <w:pPr>
              <w:spacing w:after="0" w:line="240" w:lineRule="auto"/>
              <w:jc w:val="both"/>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sz w:val="28"/>
                <w:szCs w:val="28"/>
                <w:lang w:eastAsia="uk-UA"/>
              </w:rPr>
              <w:lastRenderedPageBreak/>
              <w:t xml:space="preserve">За 3-х річний період з 2014  до 2016 року здійснена державна експертиза і оцінка 115 звітів з геолого-економічної  оціни родовищ нафти і газу, що подавались великими і середніми нафтогазовидобувними суб’єктами господарювання, витрати яких склали 46,3 </w:t>
            </w:r>
            <w:r w:rsidRPr="00CA5C63">
              <w:rPr>
                <w:rFonts w:ascii="Times New Roman" w:eastAsia="Times New Roman" w:hAnsi="Times New Roman" w:cs="Times New Roman"/>
                <w:sz w:val="28"/>
                <w:szCs w:val="28"/>
                <w:lang w:eastAsia="uk-UA"/>
              </w:rPr>
              <w:lastRenderedPageBreak/>
              <w:t>млн. грн. Середні витрати нафтогазовидобувних суб’єктів господарювання на експертизу одного родовища  нафти і газу, відповідно,  складають 400 тис. грн.</w:t>
            </w:r>
          </w:p>
        </w:tc>
      </w:tr>
      <w:tr w:rsidR="00B368D4" w:rsidRPr="00CA5C63" w:rsidTr="009E618A">
        <w:tc>
          <w:tcPr>
            <w:tcW w:w="3227" w:type="dxa"/>
          </w:tcPr>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lastRenderedPageBreak/>
              <w:t>Альтернатива 2.</w:t>
            </w:r>
          </w:p>
          <w:p w:rsidR="00B368D4" w:rsidRPr="00CA5C63" w:rsidRDefault="00B368D4"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Реєстрація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p w:rsidR="00B368D4" w:rsidRPr="00CA5C63" w:rsidRDefault="00B368D4" w:rsidP="009E618A">
            <w:pPr>
              <w:spacing w:after="0" w:line="240" w:lineRule="auto"/>
              <w:jc w:val="both"/>
              <w:rPr>
                <w:rFonts w:ascii="Times New Roman" w:eastAsia="Times New Roman" w:hAnsi="Times New Roman" w:cs="Times New Roman"/>
                <w:bCs/>
                <w:sz w:val="28"/>
                <w:szCs w:val="28"/>
                <w:lang w:eastAsia="uk-UA"/>
              </w:rPr>
            </w:pPr>
          </w:p>
        </w:tc>
        <w:tc>
          <w:tcPr>
            <w:tcW w:w="3118" w:type="dxa"/>
          </w:tcPr>
          <w:p w:rsidR="00B368D4" w:rsidRPr="00CA5C63" w:rsidRDefault="00B368D4" w:rsidP="009E618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Приведення нормативно-правового акта у відповідність до Конституції та законодавства України.</w:t>
            </w:r>
          </w:p>
          <w:p w:rsidR="00B368D4" w:rsidRPr="00CA5C63" w:rsidRDefault="00B368D4" w:rsidP="009E618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 xml:space="preserve">Надання допомоги користувачам надр в опрацюванні геолого-економічних оцінок родовищ вуглеводнів. </w:t>
            </w:r>
            <w:r w:rsidRPr="00CA5C63">
              <w:rPr>
                <w:rFonts w:ascii="Times New Roman" w:eastAsia="Times New Roman" w:hAnsi="Times New Roman" w:cs="Times New Roman"/>
                <w:sz w:val="28"/>
                <w:szCs w:val="28"/>
                <w:lang w:eastAsia="ru-RU"/>
              </w:rPr>
              <w:t>Унеможливлення суб'єктивних підходів.</w:t>
            </w:r>
          </w:p>
        </w:tc>
        <w:tc>
          <w:tcPr>
            <w:tcW w:w="3899" w:type="dxa"/>
          </w:tcPr>
          <w:p w:rsidR="00B368D4" w:rsidRPr="00CA5C63" w:rsidRDefault="00B368D4" w:rsidP="009E618A">
            <w:pPr>
              <w:spacing w:after="0" w:line="240" w:lineRule="auto"/>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Очікувана річна кількість звітів з геолого-економічної оцінки родовищ нафти і газу за аналогією з попередніми роками приймається рівною 30. Прогнозні витрати нафтогазовидобувних суб’єктів господарювання на експертизу запасів родовищ  нафти і газу складуть 12 млн. грн.</w:t>
            </w:r>
          </w:p>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Реєстрація проекту наказу надасть можливість надрокористувачам згідно із законодавством подавати оформлені належним чином (за єдиною раніше погодженою із ними формою) геолого-економічні оцінки родовищ. </w:t>
            </w:r>
          </w:p>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Державна експертиза матеріалів геолого-економічної оцінки родовищ здійснюється в Україні з часу здобуття незалежності. Виконано майже 500 затверджень запасів і апробацій ресурсів вуглеводнів. </w:t>
            </w:r>
          </w:p>
          <w:p w:rsidR="00B368D4" w:rsidRPr="00CA5C63" w:rsidRDefault="00B368D4" w:rsidP="009E618A">
            <w:pPr>
              <w:spacing w:after="0" w:line="240" w:lineRule="auto"/>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За результатами державної експертизи геолого-економічної оцінки протоколом ДКЗ визначається коефіцієнт рентабельності промислу, який згідно з Податковим Кодексом використовується для нарахування платежів </w:t>
            </w:r>
            <w:r w:rsidRPr="00CA5C63">
              <w:rPr>
                <w:rFonts w:ascii="Times New Roman" w:eastAsia="Times New Roman" w:hAnsi="Times New Roman" w:cs="Times New Roman"/>
                <w:sz w:val="28"/>
                <w:szCs w:val="28"/>
                <w:lang w:eastAsia="ru-RU"/>
              </w:rPr>
              <w:lastRenderedPageBreak/>
              <w:t>надрокористувачів за видобуток. Цей коефіцієнт використовується податковою службою, якщо він затверджений ДКЗ не раніше ніж за 5 років.</w:t>
            </w:r>
          </w:p>
          <w:p w:rsidR="00B368D4" w:rsidRPr="00CA5C63" w:rsidRDefault="00B368D4" w:rsidP="009E618A">
            <w:pPr>
              <w:spacing w:after="0" w:line="240" w:lineRule="auto"/>
              <w:rPr>
                <w:rFonts w:ascii="Times New Roman" w:eastAsia="Times New Roman" w:hAnsi="Times New Roman" w:cs="Times New Roman"/>
                <w:bCs/>
                <w:sz w:val="28"/>
                <w:szCs w:val="28"/>
                <w:lang w:eastAsia="uk-UA"/>
              </w:rPr>
            </w:pPr>
          </w:p>
        </w:tc>
      </w:tr>
    </w:tbl>
    <w:p w:rsidR="00B368D4" w:rsidRPr="00CA5C63" w:rsidRDefault="00B368D4" w:rsidP="00B368D4">
      <w:pPr>
        <w:spacing w:after="0" w:line="240" w:lineRule="auto"/>
        <w:jc w:val="both"/>
        <w:rPr>
          <w:rFonts w:ascii="Times New Roman" w:hAnsi="Times New Roman"/>
          <w:b/>
          <w:sz w:val="28"/>
          <w:szCs w:val="28"/>
        </w:rPr>
      </w:pPr>
    </w:p>
    <w:p w:rsidR="00B368D4" w:rsidRPr="00CA5C63" w:rsidRDefault="00B368D4" w:rsidP="00B368D4">
      <w:pPr>
        <w:spacing w:after="0" w:line="240" w:lineRule="auto"/>
        <w:ind w:firstLine="709"/>
        <w:jc w:val="both"/>
        <w:rPr>
          <w:rFonts w:ascii="Times New Roman" w:hAnsi="Times New Roman"/>
          <w:sz w:val="28"/>
          <w:szCs w:val="28"/>
        </w:rPr>
      </w:pPr>
      <w:r w:rsidRPr="00CA5C63">
        <w:rPr>
          <w:rFonts w:ascii="Times New Roman" w:hAnsi="Times New Roman"/>
          <w:sz w:val="28"/>
          <w:szCs w:val="28"/>
        </w:rPr>
        <w:t xml:space="preserve">Розрахунок потенційної вигоди від </w:t>
      </w:r>
      <w:r w:rsidRPr="00CA5C63">
        <w:rPr>
          <w:rFonts w:ascii="Times New Roman" w:eastAsia="Times New Roman" w:hAnsi="Times New Roman" w:cs="Times New Roman"/>
          <w:sz w:val="28"/>
          <w:szCs w:val="28"/>
          <w:lang w:eastAsia="ru-RU"/>
        </w:rPr>
        <w:t xml:space="preserve">реєстрації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 </w:t>
      </w:r>
      <w:r w:rsidRPr="00CA5C63">
        <w:rPr>
          <w:rFonts w:ascii="Times New Roman" w:hAnsi="Times New Roman"/>
          <w:sz w:val="28"/>
          <w:szCs w:val="28"/>
        </w:rPr>
        <w:t>суб’єктами господарювання проведено на основі середньостатистичних даних діяльності підприємства з видобутку газу (ПАТ "Укргазвидобування"):</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Середньорічний видобуток газу – 15 млрд м</w:t>
      </w:r>
      <w:r w:rsidRPr="00CA5C63">
        <w:rPr>
          <w:rFonts w:ascii="Times New Roman" w:hAnsi="Times New Roman"/>
          <w:sz w:val="28"/>
          <w:szCs w:val="28"/>
          <w:vertAlign w:val="superscript"/>
        </w:rPr>
        <w:t>3</w:t>
      </w:r>
      <w:r w:rsidRPr="00CA5C63">
        <w:rPr>
          <w:rFonts w:ascii="Times New Roman" w:hAnsi="Times New Roman"/>
          <w:sz w:val="28"/>
          <w:szCs w:val="28"/>
        </w:rPr>
        <w:t>.</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Валовий прибуток 55 041 146 тис. грн.</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Чистий прибуток 11 919 600 тис. грн.</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xml:space="preserve">Відрахування до бюджету </w:t>
      </w:r>
      <w:r w:rsidRPr="00CA5C63">
        <w:rPr>
          <w:rFonts w:ascii="Times New Roman" w:hAnsi="Times New Roman" w:cs="Times New Roman"/>
          <w:sz w:val="28"/>
          <w:szCs w:val="28"/>
        </w:rPr>
        <w:t>35 960 216</w:t>
      </w:r>
      <w:r w:rsidRPr="00CA5C63">
        <w:rPr>
          <w:rFonts w:ascii="Times New Roman" w:hAnsi="Times New Roman"/>
          <w:sz w:val="28"/>
          <w:szCs w:val="28"/>
        </w:rPr>
        <w:t xml:space="preserve"> тис. грн.</w:t>
      </w:r>
    </w:p>
    <w:p w:rsidR="00B368D4" w:rsidRPr="00CA5C63" w:rsidRDefault="00B368D4" w:rsidP="00B368D4">
      <w:pPr>
        <w:spacing w:after="0" w:line="240" w:lineRule="auto"/>
        <w:ind w:firstLine="567"/>
        <w:jc w:val="both"/>
        <w:rPr>
          <w:rFonts w:ascii="Times New Roman" w:hAnsi="Times New Roman"/>
          <w:sz w:val="28"/>
          <w:szCs w:val="28"/>
        </w:rPr>
      </w:pP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1. Розрахунок щорічних виплат до Державного бюджету України від суб’єктів господарювання у разі затвердження запасів (тис грн.):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845"/>
        <w:gridCol w:w="1876"/>
        <w:gridCol w:w="1784"/>
        <w:gridCol w:w="1720"/>
      </w:tblGrid>
      <w:tr w:rsidR="00B368D4" w:rsidRPr="00CA5C63" w:rsidTr="009E618A">
        <w:trPr>
          <w:trHeight w:val="945"/>
        </w:trPr>
        <w:tc>
          <w:tcPr>
            <w:tcW w:w="1291" w:type="pct"/>
            <w:shd w:val="clear" w:color="auto" w:fill="auto"/>
            <w:vAlign w:val="center"/>
            <w:hideMark/>
          </w:tcPr>
          <w:p w:rsidR="00B368D4" w:rsidRPr="00CA5C63" w:rsidRDefault="00B368D4" w:rsidP="009E618A">
            <w:pPr>
              <w:spacing w:after="0" w:line="240" w:lineRule="auto"/>
              <w:jc w:val="center"/>
              <w:rPr>
                <w:rFonts w:ascii="Times New Roman" w:hAnsi="Times New Roman"/>
                <w:b/>
                <w:sz w:val="24"/>
                <w:szCs w:val="24"/>
              </w:rPr>
            </w:pPr>
            <w:r w:rsidRPr="00CA5C63">
              <w:rPr>
                <w:rFonts w:ascii="Times New Roman" w:hAnsi="Times New Roman"/>
                <w:b/>
                <w:sz w:val="24"/>
                <w:szCs w:val="24"/>
              </w:rPr>
              <w:t>Середньорічний видобуток,</w:t>
            </w:r>
          </w:p>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hAnsi="Times New Roman"/>
                <w:b/>
                <w:sz w:val="28"/>
                <w:szCs w:val="28"/>
              </w:rPr>
              <w:t>млрд м</w:t>
            </w:r>
            <w:r w:rsidRPr="00CA5C63">
              <w:rPr>
                <w:rFonts w:ascii="Times New Roman" w:hAnsi="Times New Roman"/>
                <w:b/>
                <w:sz w:val="28"/>
                <w:szCs w:val="28"/>
                <w:vertAlign w:val="superscript"/>
              </w:rPr>
              <w:t>3</w:t>
            </w:r>
          </w:p>
        </w:tc>
        <w:tc>
          <w:tcPr>
            <w:tcW w:w="947" w:type="pct"/>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hAnsi="Times New Roman"/>
                <w:b/>
                <w:sz w:val="24"/>
                <w:szCs w:val="24"/>
              </w:rPr>
              <w:t>Чистий прибуток</w:t>
            </w:r>
            <w:r w:rsidRPr="00CA5C63">
              <w:rPr>
                <w:rFonts w:ascii="Times New Roman" w:eastAsia="Times New Roman" w:hAnsi="Times New Roman"/>
                <w:b/>
                <w:bCs/>
                <w:sz w:val="24"/>
                <w:szCs w:val="24"/>
                <w:lang w:eastAsia="ru-RU"/>
              </w:rPr>
              <w:t>,</w:t>
            </w:r>
          </w:p>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bCs/>
                <w:sz w:val="24"/>
                <w:szCs w:val="24"/>
                <w:lang w:eastAsia="ru-RU"/>
              </w:rPr>
              <w:t>тис. грн.</w:t>
            </w:r>
          </w:p>
        </w:tc>
        <w:tc>
          <w:tcPr>
            <w:tcW w:w="963" w:type="pct"/>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hAnsi="Times New Roman"/>
                <w:b/>
                <w:sz w:val="24"/>
                <w:szCs w:val="24"/>
              </w:rPr>
              <w:t>Рентна</w:t>
            </w:r>
            <w:r w:rsidRPr="00CA5C63">
              <w:rPr>
                <w:rFonts w:ascii="Times New Roman" w:eastAsia="Times New Roman" w:hAnsi="Times New Roman"/>
                <w:b/>
                <w:sz w:val="24"/>
                <w:szCs w:val="24"/>
                <w:lang w:eastAsia="ru-RU"/>
              </w:rPr>
              <w:t xml:space="preserve"> плата за користування надрами</w:t>
            </w:r>
            <w:r w:rsidRPr="00CA5C63">
              <w:rPr>
                <w:rFonts w:ascii="Times New Roman" w:eastAsia="Times New Roman" w:hAnsi="Times New Roman"/>
                <w:b/>
                <w:bCs/>
                <w:sz w:val="24"/>
                <w:szCs w:val="24"/>
                <w:lang w:eastAsia="ru-RU"/>
              </w:rPr>
              <w:t>,</w:t>
            </w:r>
          </w:p>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bCs/>
                <w:sz w:val="24"/>
                <w:szCs w:val="24"/>
                <w:lang w:eastAsia="ru-RU"/>
              </w:rPr>
              <w:t>тис. грн.</w:t>
            </w:r>
          </w:p>
        </w:tc>
        <w:tc>
          <w:tcPr>
            <w:tcW w:w="915" w:type="pct"/>
            <w:vAlign w:val="center"/>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hAnsi="Times New Roman"/>
                <w:b/>
                <w:sz w:val="24"/>
                <w:szCs w:val="24"/>
              </w:rPr>
              <w:t>Інші відрахування до бюджету (податок на прибуток та інші)</w:t>
            </w:r>
            <w:r w:rsidRPr="00CA5C63">
              <w:rPr>
                <w:rFonts w:ascii="Times New Roman" w:eastAsia="Times New Roman" w:hAnsi="Times New Roman"/>
                <w:b/>
                <w:bCs/>
                <w:sz w:val="24"/>
                <w:szCs w:val="24"/>
                <w:lang w:eastAsia="ru-RU"/>
              </w:rPr>
              <w:t xml:space="preserve"> ,</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тис. грн.</w:t>
            </w:r>
          </w:p>
        </w:tc>
        <w:tc>
          <w:tcPr>
            <w:tcW w:w="883" w:type="pct"/>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Разом</w:t>
            </w:r>
            <w:r w:rsidRPr="00CA5C63">
              <w:rPr>
                <w:rFonts w:ascii="Times New Roman" w:hAnsi="Times New Roman"/>
                <w:b/>
                <w:sz w:val="24"/>
                <w:szCs w:val="24"/>
              </w:rPr>
              <w:t xml:space="preserve"> відрахувань до бюджету</w:t>
            </w:r>
            <w:r w:rsidRPr="00CA5C63">
              <w:rPr>
                <w:rFonts w:ascii="Times New Roman" w:eastAsia="Times New Roman" w:hAnsi="Times New Roman"/>
                <w:b/>
                <w:bCs/>
                <w:sz w:val="24"/>
                <w:szCs w:val="24"/>
                <w:lang w:eastAsia="ru-RU"/>
              </w:rPr>
              <w:t>,</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тис. грн.</w:t>
            </w:r>
          </w:p>
        </w:tc>
      </w:tr>
      <w:tr w:rsidR="00B368D4" w:rsidRPr="00CA5C63" w:rsidTr="009E618A">
        <w:trPr>
          <w:trHeight w:val="945"/>
        </w:trPr>
        <w:tc>
          <w:tcPr>
            <w:tcW w:w="1291" w:type="pct"/>
            <w:shd w:val="clear" w:color="auto" w:fill="auto"/>
            <w:vAlign w:val="center"/>
            <w:hideMark/>
          </w:tcPr>
          <w:p w:rsidR="00B368D4" w:rsidRPr="00CA5C63" w:rsidRDefault="00B368D4" w:rsidP="009E618A">
            <w:pPr>
              <w:spacing w:after="0" w:line="240" w:lineRule="auto"/>
              <w:jc w:val="center"/>
              <w:rPr>
                <w:rFonts w:ascii="Times New Roman" w:hAnsi="Times New Roman"/>
                <w:sz w:val="28"/>
                <w:szCs w:val="28"/>
              </w:rPr>
            </w:pPr>
            <w:r w:rsidRPr="00CA5C63">
              <w:rPr>
                <w:rFonts w:ascii="Times New Roman" w:hAnsi="Times New Roman"/>
                <w:sz w:val="28"/>
                <w:szCs w:val="28"/>
              </w:rPr>
              <w:t>15 млрд м</w:t>
            </w:r>
            <w:r w:rsidRPr="00CA5C63">
              <w:rPr>
                <w:rFonts w:ascii="Times New Roman" w:hAnsi="Times New Roman"/>
                <w:sz w:val="28"/>
                <w:szCs w:val="28"/>
                <w:vertAlign w:val="superscript"/>
              </w:rPr>
              <w:t>3</w:t>
            </w:r>
          </w:p>
        </w:tc>
        <w:tc>
          <w:tcPr>
            <w:tcW w:w="947" w:type="pct"/>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hAnsi="Times New Roman" w:cs="Times New Roman"/>
                <w:sz w:val="28"/>
                <w:szCs w:val="28"/>
              </w:rPr>
              <w:t>11 919 600</w:t>
            </w:r>
          </w:p>
        </w:tc>
        <w:tc>
          <w:tcPr>
            <w:tcW w:w="963" w:type="pct"/>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hAnsi="Times New Roman" w:cs="Times New Roman"/>
                <w:sz w:val="28"/>
                <w:szCs w:val="28"/>
              </w:rPr>
              <w:t>15 961 932</w:t>
            </w:r>
          </w:p>
        </w:tc>
        <w:tc>
          <w:tcPr>
            <w:tcW w:w="915" w:type="pct"/>
            <w:vAlign w:val="center"/>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ru-RU"/>
              </w:rPr>
            </w:pPr>
            <w:r w:rsidRPr="00CA5C63">
              <w:rPr>
                <w:rFonts w:ascii="Times New Roman" w:hAnsi="Times New Roman" w:cs="Times New Roman"/>
                <w:sz w:val="28"/>
                <w:szCs w:val="28"/>
              </w:rPr>
              <w:t>11 008 229</w:t>
            </w:r>
          </w:p>
        </w:tc>
        <w:tc>
          <w:tcPr>
            <w:tcW w:w="883" w:type="pct"/>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ru-RU"/>
              </w:rPr>
            </w:pPr>
            <w:r w:rsidRPr="00CA5C63">
              <w:rPr>
                <w:rFonts w:ascii="Times New Roman" w:hAnsi="Times New Roman" w:cs="Times New Roman"/>
                <w:sz w:val="28"/>
                <w:szCs w:val="28"/>
              </w:rPr>
              <w:t>26 970 162</w:t>
            </w:r>
          </w:p>
        </w:tc>
      </w:tr>
      <w:tr w:rsidR="00B368D4" w:rsidRPr="00CA5C63" w:rsidTr="009E618A">
        <w:trPr>
          <w:trHeight w:val="300"/>
        </w:trPr>
        <w:tc>
          <w:tcPr>
            <w:tcW w:w="1291" w:type="pct"/>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 xml:space="preserve">5 </w:t>
            </w:r>
            <w:r w:rsidRPr="00CA5C63">
              <w:rPr>
                <w:rFonts w:ascii="Times New Roman" w:hAnsi="Times New Roman"/>
                <w:sz w:val="28"/>
                <w:szCs w:val="28"/>
              </w:rPr>
              <w:t>млрд м</w:t>
            </w:r>
            <w:r w:rsidRPr="00CA5C63">
              <w:rPr>
                <w:rFonts w:ascii="Times New Roman" w:hAnsi="Times New Roman"/>
                <w:sz w:val="28"/>
                <w:szCs w:val="28"/>
                <w:vertAlign w:val="superscript"/>
              </w:rPr>
              <w:t>3</w:t>
            </w:r>
            <w:r w:rsidRPr="00CA5C63">
              <w:rPr>
                <w:rFonts w:ascii="Times New Roman" w:eastAsia="Times New Roman" w:hAnsi="Times New Roman"/>
                <w:sz w:val="28"/>
                <w:szCs w:val="28"/>
                <w:lang w:eastAsia="ru-RU"/>
              </w:rPr>
              <w:t xml:space="preserve"> (ПАТ Укрнафта та інші державні і приватні підприємства)</w:t>
            </w:r>
          </w:p>
        </w:tc>
        <w:tc>
          <w:tcPr>
            <w:tcW w:w="947" w:type="pct"/>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hAnsi="Times New Roman" w:cs="Times New Roman"/>
                <w:sz w:val="28"/>
                <w:szCs w:val="28"/>
              </w:rPr>
              <w:t>3 973 200</w:t>
            </w:r>
          </w:p>
        </w:tc>
        <w:tc>
          <w:tcPr>
            <w:tcW w:w="963" w:type="pct"/>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hAnsi="Times New Roman" w:cs="Times New Roman"/>
                <w:sz w:val="28"/>
                <w:szCs w:val="28"/>
              </w:rPr>
              <w:t>5 320 644</w:t>
            </w:r>
          </w:p>
        </w:tc>
        <w:tc>
          <w:tcPr>
            <w:tcW w:w="915" w:type="pct"/>
            <w:vAlign w:val="center"/>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ru-RU"/>
              </w:rPr>
            </w:pPr>
            <w:r w:rsidRPr="00CA5C63">
              <w:rPr>
                <w:rFonts w:ascii="Times New Roman" w:hAnsi="Times New Roman" w:cs="Times New Roman"/>
                <w:sz w:val="28"/>
                <w:szCs w:val="28"/>
              </w:rPr>
              <w:t>3 669 410</w:t>
            </w:r>
          </w:p>
        </w:tc>
        <w:tc>
          <w:tcPr>
            <w:tcW w:w="883" w:type="pct"/>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cs="Times New Roman"/>
                <w:bCs/>
                <w:sz w:val="28"/>
                <w:szCs w:val="28"/>
                <w:lang w:eastAsia="ru-RU"/>
              </w:rPr>
            </w:pPr>
            <w:r w:rsidRPr="00CA5C63">
              <w:rPr>
                <w:rFonts w:ascii="Times New Roman" w:hAnsi="Times New Roman" w:cs="Times New Roman"/>
                <w:sz w:val="28"/>
                <w:szCs w:val="28"/>
              </w:rPr>
              <w:t>8 990 054</w:t>
            </w:r>
          </w:p>
        </w:tc>
      </w:tr>
      <w:tr w:rsidR="00B368D4" w:rsidRPr="00CA5C63" w:rsidTr="009E618A">
        <w:trPr>
          <w:trHeight w:val="300"/>
        </w:trPr>
        <w:tc>
          <w:tcPr>
            <w:tcW w:w="4117" w:type="pct"/>
            <w:gridSpan w:val="4"/>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cs="Times New Roman"/>
                <w:b/>
                <w:bCs/>
                <w:sz w:val="28"/>
                <w:szCs w:val="28"/>
                <w:lang w:eastAsia="ru-RU"/>
              </w:rPr>
            </w:pPr>
            <w:r w:rsidRPr="00CA5C63">
              <w:rPr>
                <w:rFonts w:ascii="Times New Roman" w:eastAsia="Times New Roman" w:hAnsi="Times New Roman" w:cs="Times New Roman"/>
                <w:b/>
                <w:bCs/>
                <w:sz w:val="28"/>
                <w:szCs w:val="28"/>
                <w:lang w:eastAsia="ru-RU"/>
              </w:rPr>
              <w:t>Разом всі підприємства</w:t>
            </w:r>
          </w:p>
        </w:tc>
        <w:tc>
          <w:tcPr>
            <w:tcW w:w="883" w:type="pct"/>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cs="Times New Roman"/>
                <w:b/>
                <w:bCs/>
                <w:sz w:val="28"/>
                <w:szCs w:val="28"/>
                <w:lang w:eastAsia="ru-RU"/>
              </w:rPr>
            </w:pPr>
            <w:r w:rsidRPr="00CA5C63">
              <w:rPr>
                <w:rFonts w:ascii="Times New Roman" w:hAnsi="Times New Roman" w:cs="Times New Roman"/>
                <w:b/>
                <w:sz w:val="28"/>
                <w:szCs w:val="28"/>
              </w:rPr>
              <w:t>35 960 216</w:t>
            </w:r>
          </w:p>
        </w:tc>
      </w:tr>
    </w:tbl>
    <w:p w:rsidR="00B368D4" w:rsidRPr="00CA5C63" w:rsidRDefault="00B368D4" w:rsidP="00B368D4">
      <w:pPr>
        <w:spacing w:after="0" w:line="240" w:lineRule="auto"/>
        <w:ind w:firstLine="567"/>
        <w:jc w:val="both"/>
        <w:rPr>
          <w:rFonts w:ascii="Times New Roman" w:hAnsi="Times New Roman"/>
          <w:sz w:val="28"/>
          <w:szCs w:val="28"/>
        </w:rPr>
      </w:pP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3. Соціально-економічні вигоди від діяльності суб’єктів господарювання, що здійснили затвердження запасів і отримали спецдозволи згідно з чинним законодавством:</w:t>
      </w:r>
    </w:p>
    <w:p w:rsidR="00B368D4" w:rsidRPr="00CA5C63" w:rsidRDefault="00B368D4" w:rsidP="00B368D4">
      <w:pPr>
        <w:spacing w:after="0" w:line="240" w:lineRule="auto"/>
        <w:ind w:firstLine="567"/>
        <w:jc w:val="both"/>
        <w:rPr>
          <w:rFonts w:ascii="Times New Roman" w:hAnsi="Times New Roman"/>
          <w:sz w:val="28"/>
          <w:szCs w:val="2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1644"/>
        <w:gridCol w:w="1701"/>
        <w:gridCol w:w="2127"/>
        <w:gridCol w:w="1715"/>
      </w:tblGrid>
      <w:tr w:rsidR="00B368D4" w:rsidRPr="00CA5C63" w:rsidTr="009E618A">
        <w:trPr>
          <w:trHeight w:val="900"/>
          <w:jc w:val="center"/>
        </w:trPr>
        <w:tc>
          <w:tcPr>
            <w:tcW w:w="2326" w:type="dxa"/>
            <w:vAlign w:val="center"/>
          </w:tcPr>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sz w:val="24"/>
                <w:szCs w:val="24"/>
                <w:lang w:eastAsia="ru-RU"/>
              </w:rPr>
              <w:lastRenderedPageBreak/>
              <w:t xml:space="preserve">Кількість </w:t>
            </w:r>
            <w:r w:rsidRPr="00CA5C63">
              <w:rPr>
                <w:rFonts w:ascii="Times New Roman" w:hAnsi="Times New Roman"/>
                <w:b/>
                <w:sz w:val="24"/>
                <w:szCs w:val="24"/>
              </w:rPr>
              <w:t>суб’єктів господарювання</w:t>
            </w:r>
          </w:p>
        </w:tc>
        <w:tc>
          <w:tcPr>
            <w:tcW w:w="1644"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Кількість зайнятого населення,</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sz w:val="24"/>
                <w:szCs w:val="24"/>
                <w:lang w:eastAsia="ru-RU"/>
              </w:rPr>
              <w:t>осіб</w:t>
            </w:r>
          </w:p>
        </w:tc>
        <w:tc>
          <w:tcPr>
            <w:tcW w:w="1701"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Середня зарплата,</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sz w:val="24"/>
                <w:szCs w:val="24"/>
                <w:lang w:eastAsia="ru-RU"/>
              </w:rPr>
              <w:t>грн.</w:t>
            </w:r>
            <w:r w:rsidRPr="00CA5C63">
              <w:rPr>
                <w:rFonts w:ascii="Times New Roman" w:hAnsi="Times New Roman"/>
                <w:b/>
                <w:sz w:val="24"/>
                <w:szCs w:val="24"/>
              </w:rPr>
              <w:t>/місяць</w:t>
            </w:r>
          </w:p>
        </w:tc>
        <w:tc>
          <w:tcPr>
            <w:tcW w:w="2127"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Місячний фонд оплати праці,</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hAnsi="Times New Roman"/>
                <w:b/>
                <w:sz w:val="24"/>
                <w:szCs w:val="24"/>
              </w:rPr>
              <w:t>тис. грн./місяць</w:t>
            </w:r>
          </w:p>
        </w:tc>
        <w:tc>
          <w:tcPr>
            <w:tcW w:w="1715" w:type="dxa"/>
            <w:vAlign w:val="center"/>
          </w:tcPr>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bCs/>
                <w:sz w:val="24"/>
                <w:szCs w:val="24"/>
                <w:lang w:eastAsia="ru-RU"/>
              </w:rPr>
              <w:t>Річний фонд оплати праці,</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hAnsi="Times New Roman"/>
                <w:b/>
                <w:sz w:val="24"/>
                <w:szCs w:val="24"/>
              </w:rPr>
              <w:t>тис. грн./рік</w:t>
            </w:r>
          </w:p>
        </w:tc>
      </w:tr>
      <w:tr w:rsidR="00B368D4" w:rsidRPr="00CA5C63" w:rsidTr="009E618A">
        <w:trPr>
          <w:trHeight w:val="300"/>
          <w:jc w:val="center"/>
        </w:trPr>
        <w:tc>
          <w:tcPr>
            <w:tcW w:w="2326" w:type="dxa"/>
            <w:vAlign w:val="center"/>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120</w:t>
            </w:r>
          </w:p>
        </w:tc>
        <w:tc>
          <w:tcPr>
            <w:tcW w:w="1644"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15000</w:t>
            </w:r>
          </w:p>
        </w:tc>
        <w:tc>
          <w:tcPr>
            <w:tcW w:w="1701"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10000</w:t>
            </w:r>
          </w:p>
        </w:tc>
        <w:tc>
          <w:tcPr>
            <w:tcW w:w="2127"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150000</w:t>
            </w:r>
          </w:p>
        </w:tc>
        <w:tc>
          <w:tcPr>
            <w:tcW w:w="1715" w:type="dxa"/>
            <w:vAlign w:val="center"/>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1800000</w:t>
            </w:r>
          </w:p>
        </w:tc>
      </w:tr>
    </w:tbl>
    <w:p w:rsidR="00B368D4" w:rsidRPr="00CA5C63" w:rsidRDefault="00B368D4" w:rsidP="00B368D4">
      <w:pPr>
        <w:spacing w:after="0" w:line="240" w:lineRule="auto"/>
        <w:ind w:firstLine="567"/>
        <w:jc w:val="both"/>
        <w:rPr>
          <w:rFonts w:ascii="Times New Roman" w:hAnsi="Times New Roman"/>
          <w:sz w:val="28"/>
          <w:szCs w:val="28"/>
        </w:rPr>
      </w:pP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4. Додаткові надходження до бюджетів різних рівнів та цільових фондів від діяльності суб’єктів господарювання (тис. грн. /рік):</w:t>
      </w:r>
    </w:p>
    <w:p w:rsidR="00B368D4" w:rsidRPr="00CA5C63" w:rsidRDefault="00B368D4" w:rsidP="00B368D4">
      <w:pPr>
        <w:spacing w:after="0" w:line="240" w:lineRule="auto"/>
        <w:ind w:firstLine="567"/>
        <w:jc w:val="both"/>
        <w:rPr>
          <w:rFonts w:ascii="Times New Roman" w:hAnsi="Times New Roman"/>
          <w:sz w:val="28"/>
          <w:szCs w:val="28"/>
        </w:rPr>
      </w:pPr>
    </w:p>
    <w:tbl>
      <w:tblPr>
        <w:tblW w:w="96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662"/>
        <w:gridCol w:w="2076"/>
        <w:gridCol w:w="1838"/>
        <w:gridCol w:w="1800"/>
      </w:tblGrid>
      <w:tr w:rsidR="00B368D4" w:rsidRPr="00CA5C63" w:rsidTr="009E618A">
        <w:trPr>
          <w:trHeight w:val="300"/>
        </w:trPr>
        <w:tc>
          <w:tcPr>
            <w:tcW w:w="2271" w:type="dxa"/>
            <w:vAlign w:val="center"/>
          </w:tcPr>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sz w:val="24"/>
                <w:szCs w:val="24"/>
                <w:lang w:eastAsia="ru-RU"/>
              </w:rPr>
              <w:t xml:space="preserve">Кількість </w:t>
            </w:r>
            <w:r w:rsidRPr="00CA5C63">
              <w:rPr>
                <w:rFonts w:ascii="Times New Roman" w:hAnsi="Times New Roman"/>
                <w:b/>
                <w:sz w:val="24"/>
                <w:szCs w:val="24"/>
              </w:rPr>
              <w:t>суб’єктів господарювання</w:t>
            </w:r>
          </w:p>
        </w:tc>
        <w:tc>
          <w:tcPr>
            <w:tcW w:w="1662"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bCs/>
                <w:sz w:val="24"/>
                <w:szCs w:val="24"/>
                <w:lang w:eastAsia="ru-RU"/>
              </w:rPr>
              <w:t>ПДФО</w:t>
            </w:r>
            <w:r w:rsidRPr="00CA5C63">
              <w:rPr>
                <w:rFonts w:ascii="Times New Roman" w:eastAsia="Times New Roman" w:hAnsi="Times New Roman"/>
                <w:b/>
                <w:sz w:val="24"/>
                <w:szCs w:val="24"/>
                <w:lang w:eastAsia="ru-RU"/>
              </w:rPr>
              <w:t>,</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sz w:val="24"/>
                <w:szCs w:val="24"/>
                <w:lang w:eastAsia="ru-RU"/>
              </w:rPr>
              <w:t>тис. грн.</w:t>
            </w:r>
          </w:p>
        </w:tc>
        <w:tc>
          <w:tcPr>
            <w:tcW w:w="2076"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bCs/>
                <w:sz w:val="24"/>
                <w:szCs w:val="24"/>
                <w:lang w:eastAsia="ru-RU"/>
              </w:rPr>
              <w:t>Військовий збір</w:t>
            </w:r>
            <w:r w:rsidRPr="00CA5C63">
              <w:rPr>
                <w:rFonts w:ascii="Times New Roman" w:eastAsia="Times New Roman" w:hAnsi="Times New Roman"/>
                <w:b/>
                <w:sz w:val="24"/>
                <w:szCs w:val="24"/>
                <w:lang w:eastAsia="ru-RU"/>
              </w:rPr>
              <w:t>,</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sz w:val="24"/>
                <w:szCs w:val="24"/>
                <w:lang w:eastAsia="ru-RU"/>
              </w:rPr>
              <w:t>тис. грн.</w:t>
            </w:r>
          </w:p>
        </w:tc>
        <w:tc>
          <w:tcPr>
            <w:tcW w:w="1838"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bCs/>
                <w:sz w:val="24"/>
                <w:szCs w:val="24"/>
                <w:lang w:eastAsia="ru-RU"/>
              </w:rPr>
              <w:t>Профвзноси</w:t>
            </w:r>
            <w:r w:rsidRPr="00CA5C63">
              <w:rPr>
                <w:rFonts w:ascii="Times New Roman" w:eastAsia="Times New Roman" w:hAnsi="Times New Roman"/>
                <w:b/>
                <w:sz w:val="24"/>
                <w:szCs w:val="24"/>
                <w:lang w:eastAsia="ru-RU"/>
              </w:rPr>
              <w:t>,</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sz w:val="24"/>
                <w:szCs w:val="24"/>
                <w:lang w:eastAsia="ru-RU"/>
              </w:rPr>
              <w:t>тис. грн.</w:t>
            </w:r>
          </w:p>
        </w:tc>
        <w:tc>
          <w:tcPr>
            <w:tcW w:w="1800" w:type="dxa"/>
            <w:shd w:val="clear" w:color="auto" w:fill="auto"/>
            <w:vAlign w:val="center"/>
            <w:hideMark/>
          </w:tcPr>
          <w:p w:rsidR="00B368D4" w:rsidRPr="00CA5C63" w:rsidRDefault="00B368D4" w:rsidP="009E618A">
            <w:pPr>
              <w:spacing w:after="0" w:line="240" w:lineRule="auto"/>
              <w:jc w:val="center"/>
              <w:rPr>
                <w:rFonts w:ascii="Times New Roman" w:eastAsia="Times New Roman" w:hAnsi="Times New Roman"/>
                <w:b/>
                <w:sz w:val="24"/>
                <w:szCs w:val="24"/>
                <w:lang w:eastAsia="ru-RU"/>
              </w:rPr>
            </w:pPr>
            <w:r w:rsidRPr="00CA5C63">
              <w:rPr>
                <w:rFonts w:ascii="Times New Roman" w:eastAsia="Times New Roman" w:hAnsi="Times New Roman"/>
                <w:b/>
                <w:bCs/>
                <w:sz w:val="24"/>
                <w:szCs w:val="24"/>
                <w:lang w:eastAsia="ru-RU"/>
              </w:rPr>
              <w:t>РАЗОМ</w:t>
            </w:r>
            <w:r w:rsidRPr="00CA5C63">
              <w:rPr>
                <w:rFonts w:ascii="Times New Roman" w:eastAsia="Times New Roman" w:hAnsi="Times New Roman"/>
                <w:b/>
                <w:sz w:val="24"/>
                <w:szCs w:val="24"/>
                <w:lang w:eastAsia="ru-RU"/>
              </w:rPr>
              <w:t>,</w:t>
            </w:r>
          </w:p>
          <w:p w:rsidR="00B368D4" w:rsidRPr="00CA5C63" w:rsidRDefault="00B368D4" w:rsidP="009E618A">
            <w:pPr>
              <w:spacing w:after="0" w:line="240" w:lineRule="auto"/>
              <w:jc w:val="center"/>
              <w:rPr>
                <w:rFonts w:ascii="Times New Roman" w:eastAsia="Times New Roman" w:hAnsi="Times New Roman"/>
                <w:b/>
                <w:bCs/>
                <w:sz w:val="24"/>
                <w:szCs w:val="24"/>
                <w:lang w:eastAsia="ru-RU"/>
              </w:rPr>
            </w:pPr>
            <w:r w:rsidRPr="00CA5C63">
              <w:rPr>
                <w:rFonts w:ascii="Times New Roman" w:eastAsia="Times New Roman" w:hAnsi="Times New Roman"/>
                <w:b/>
                <w:sz w:val="24"/>
                <w:szCs w:val="24"/>
                <w:lang w:eastAsia="ru-RU"/>
              </w:rPr>
              <w:t>тис. грн.</w:t>
            </w:r>
          </w:p>
        </w:tc>
      </w:tr>
      <w:tr w:rsidR="00B368D4" w:rsidRPr="00CA5C63" w:rsidTr="009E618A">
        <w:trPr>
          <w:trHeight w:val="300"/>
        </w:trPr>
        <w:tc>
          <w:tcPr>
            <w:tcW w:w="2271" w:type="dxa"/>
            <w:vAlign w:val="center"/>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120</w:t>
            </w:r>
          </w:p>
        </w:tc>
        <w:tc>
          <w:tcPr>
            <w:tcW w:w="1662"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342000</w:t>
            </w:r>
          </w:p>
        </w:tc>
        <w:tc>
          <w:tcPr>
            <w:tcW w:w="2076"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27000</w:t>
            </w:r>
          </w:p>
        </w:tc>
        <w:tc>
          <w:tcPr>
            <w:tcW w:w="1838"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18000</w:t>
            </w:r>
          </w:p>
        </w:tc>
        <w:tc>
          <w:tcPr>
            <w:tcW w:w="1800" w:type="dxa"/>
            <w:shd w:val="clear" w:color="auto" w:fill="auto"/>
            <w:noWrap/>
            <w:vAlign w:val="center"/>
            <w:hideMark/>
          </w:tcPr>
          <w:p w:rsidR="00B368D4" w:rsidRPr="00CA5C63" w:rsidRDefault="00B368D4" w:rsidP="009E618A">
            <w:pPr>
              <w:spacing w:after="0" w:line="240" w:lineRule="auto"/>
              <w:jc w:val="center"/>
              <w:rPr>
                <w:rFonts w:ascii="Times New Roman" w:eastAsia="Times New Roman" w:hAnsi="Times New Roman"/>
                <w:bCs/>
                <w:sz w:val="28"/>
                <w:szCs w:val="28"/>
                <w:lang w:eastAsia="ru-RU"/>
              </w:rPr>
            </w:pPr>
            <w:r w:rsidRPr="00CA5C63">
              <w:rPr>
                <w:rFonts w:ascii="Times New Roman" w:eastAsia="Times New Roman" w:hAnsi="Times New Roman"/>
                <w:bCs/>
                <w:sz w:val="28"/>
                <w:szCs w:val="28"/>
                <w:lang w:eastAsia="ru-RU"/>
              </w:rPr>
              <w:t>387000</w:t>
            </w:r>
          </w:p>
        </w:tc>
      </w:tr>
    </w:tbl>
    <w:p w:rsidR="00B368D4" w:rsidRPr="00CA5C63" w:rsidRDefault="00B368D4" w:rsidP="00B368D4">
      <w:pPr>
        <w:spacing w:after="0" w:line="240" w:lineRule="auto"/>
        <w:ind w:firstLine="567"/>
        <w:jc w:val="both"/>
        <w:rPr>
          <w:rFonts w:ascii="Times New Roman" w:hAnsi="Times New Roman"/>
          <w:sz w:val="28"/>
          <w:szCs w:val="28"/>
        </w:rPr>
      </w:pP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xml:space="preserve">Під час затвердження геолого-економічних оцінок запасів для надання спеціальних дозволів та продовження дії спеціальних дозволів на користування нафтогазоносними надрами (близько 400), щорічні відрахування до державного та місцевих бюджетів і державних цільових фондів складуть близько </w:t>
      </w:r>
      <w:r w:rsidRPr="00CA5C63">
        <w:rPr>
          <w:rFonts w:ascii="Times New Roman" w:hAnsi="Times New Roman" w:cs="Times New Roman"/>
          <w:sz w:val="28"/>
          <w:szCs w:val="28"/>
        </w:rPr>
        <w:t>35 960 216</w:t>
      </w:r>
      <w:r w:rsidRPr="00CA5C63">
        <w:rPr>
          <w:rFonts w:ascii="Times New Roman" w:hAnsi="Times New Roman"/>
          <w:sz w:val="28"/>
          <w:szCs w:val="28"/>
        </w:rPr>
        <w:t xml:space="preserve"> тис. грн. </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При врахуванні видобутку рідких вуглеводнів ще на 30% збільшуються відрахування до бюджетів.</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При недотриманні вимог Інструкції не будуть затверджені запаси, відповідно, буде зупинено дію спецдозволу до моменту затвердження запасів, а це вплине на зменшення щорічних відрахувань до державного, місцевих бюджетів та державних цільових фондів.</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xml:space="preserve">При виконанні вимог Інструкції буде забезпечено значний соціально-економічній ефект від діяльності господарюючих суб’єктів: </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буде забезпечено (збережено) близько 15 000 робочих місць;</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xml:space="preserve">- річний фонд оплати праці складе близько </w:t>
      </w:r>
      <w:r w:rsidRPr="00CA5C63">
        <w:rPr>
          <w:rFonts w:ascii="Times New Roman" w:eastAsia="Times New Roman" w:hAnsi="Times New Roman"/>
          <w:sz w:val="28"/>
          <w:szCs w:val="28"/>
          <w:lang w:eastAsia="ru-RU"/>
        </w:rPr>
        <w:t>1 800 000</w:t>
      </w:r>
      <w:r w:rsidRPr="00CA5C63">
        <w:rPr>
          <w:rFonts w:ascii="Times New Roman" w:hAnsi="Times New Roman"/>
          <w:sz w:val="28"/>
          <w:szCs w:val="28"/>
        </w:rPr>
        <w:t xml:space="preserve"> тис. грн., що сприятиме забезпеченню купівельної спроможності населення.</w:t>
      </w:r>
    </w:p>
    <w:p w:rsidR="00B368D4" w:rsidRPr="00CA5C63" w:rsidRDefault="00B368D4" w:rsidP="00B368D4">
      <w:pPr>
        <w:spacing w:after="0" w:line="240" w:lineRule="auto"/>
        <w:ind w:firstLine="567"/>
        <w:jc w:val="both"/>
        <w:rPr>
          <w:rFonts w:ascii="Times New Roman" w:hAnsi="Times New Roman"/>
          <w:sz w:val="28"/>
          <w:szCs w:val="28"/>
        </w:rPr>
      </w:pPr>
    </w:p>
    <w:p w:rsidR="00B368D4" w:rsidRPr="00CA5C63" w:rsidRDefault="00B368D4" w:rsidP="00B368D4">
      <w:pPr>
        <w:spacing w:after="0" w:line="240" w:lineRule="auto"/>
        <w:ind w:firstLine="567"/>
        <w:jc w:val="both"/>
        <w:rPr>
          <w:rFonts w:ascii="Times New Roman" w:hAnsi="Times New Roman"/>
          <w:b/>
          <w:sz w:val="28"/>
          <w:szCs w:val="28"/>
        </w:rPr>
      </w:pPr>
      <w:r w:rsidRPr="00CA5C63">
        <w:rPr>
          <w:rFonts w:ascii="Times New Roman" w:hAnsi="Times New Roman"/>
          <w:b/>
          <w:sz w:val="28"/>
          <w:szCs w:val="28"/>
        </w:rPr>
        <w:t>Додатковий економічний ефект від діяльності підприємств з майбутнім річним обсягом видобутку та реалізації 20 млрд м</w:t>
      </w:r>
      <w:r w:rsidRPr="00CA5C63">
        <w:rPr>
          <w:rFonts w:ascii="Times New Roman" w:hAnsi="Times New Roman"/>
          <w:b/>
          <w:sz w:val="28"/>
          <w:szCs w:val="28"/>
          <w:vertAlign w:val="superscript"/>
        </w:rPr>
        <w:t>3</w:t>
      </w:r>
      <w:r w:rsidRPr="00CA5C63">
        <w:rPr>
          <w:rFonts w:ascii="Times New Roman" w:hAnsi="Times New Roman"/>
          <w:b/>
          <w:sz w:val="28"/>
          <w:szCs w:val="28"/>
        </w:rPr>
        <w:t xml:space="preserve"> газу:</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b/>
          <w:sz w:val="28"/>
          <w:szCs w:val="28"/>
        </w:rPr>
        <w:t xml:space="preserve">- </w:t>
      </w:r>
      <w:r w:rsidRPr="00CA5C63">
        <w:rPr>
          <w:rFonts w:ascii="Times New Roman" w:hAnsi="Times New Roman"/>
          <w:sz w:val="28"/>
          <w:szCs w:val="28"/>
        </w:rPr>
        <w:t>майже 800 млн. дол. валютних інвестицій у рік для буріння нових свердловин.</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використання послуг газотранспортної системи України на суму понад 1000 млн. грн. в рік.</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послуги з перевезень залізничним транспортом на суму понад 500 млн. грн. на рік (зріджений газ, метанол, азот, труби, спецтехніка та ін.).</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 залучення послуг автоперевізників вантажним транспортом на суму понад 300 млн. грн. на рік (зріджений газ, метанол, азот, труби, спецтехніка та ін.).</w:t>
      </w:r>
    </w:p>
    <w:p w:rsidR="00B368D4" w:rsidRPr="00CA5C63" w:rsidRDefault="00B368D4" w:rsidP="00B368D4">
      <w:pPr>
        <w:spacing w:after="0" w:line="240" w:lineRule="auto"/>
        <w:ind w:firstLine="567"/>
        <w:jc w:val="both"/>
        <w:rPr>
          <w:rFonts w:ascii="Times New Roman" w:hAnsi="Times New Roman"/>
          <w:sz w:val="28"/>
          <w:szCs w:val="28"/>
        </w:rPr>
      </w:pPr>
      <w:r w:rsidRPr="00CA5C63">
        <w:rPr>
          <w:rFonts w:ascii="Times New Roman" w:hAnsi="Times New Roman"/>
          <w:sz w:val="28"/>
          <w:szCs w:val="28"/>
        </w:rPr>
        <w:t>У найближчій перспективі виконання вимог Інструкції вплине на</w:t>
      </w:r>
      <w:r w:rsidRPr="00CA5C63">
        <w:rPr>
          <w:rFonts w:ascii="Times New Roman" w:eastAsia="Times New Roman" w:hAnsi="Times New Roman" w:cs="Times New Roman"/>
          <w:sz w:val="28"/>
          <w:szCs w:val="28"/>
          <w:lang w:eastAsia="ru-RU"/>
        </w:rPr>
        <w:t xml:space="preserve"> достовірність підрахунку кількості запасів і планування їх видобутку, що є основою енергетичної незалежності держави та</w:t>
      </w:r>
      <w:r w:rsidRPr="00CA5C63">
        <w:rPr>
          <w:rFonts w:ascii="Times New Roman" w:hAnsi="Times New Roman"/>
          <w:sz w:val="28"/>
          <w:szCs w:val="28"/>
        </w:rPr>
        <w:t xml:space="preserve"> забезпечення країни власним видобутком газу.</w:t>
      </w:r>
    </w:p>
    <w:p w:rsidR="00F25AFC" w:rsidRPr="00B368D4" w:rsidRDefault="00F25AFC" w:rsidP="00F25AFC">
      <w:pPr>
        <w:pStyle w:val="a3"/>
        <w:spacing w:before="240" w:line="240" w:lineRule="auto"/>
        <w:ind w:left="0" w:firstLine="709"/>
        <w:jc w:val="both"/>
        <w:rPr>
          <w:rFonts w:ascii="Times New Roman" w:hAnsi="Times New Roman" w:cs="Times New Roman"/>
        </w:rPr>
      </w:pPr>
    </w:p>
    <w:p w:rsidR="002231E1" w:rsidRPr="002B56DE" w:rsidRDefault="002231E1" w:rsidP="0074633A">
      <w:pPr>
        <w:pStyle w:val="a3"/>
        <w:numPr>
          <w:ilvl w:val="0"/>
          <w:numId w:val="5"/>
        </w:numPr>
        <w:spacing w:after="120" w:line="240" w:lineRule="auto"/>
        <w:jc w:val="center"/>
        <w:rPr>
          <w:rFonts w:ascii="Times New Roman" w:eastAsia="Times New Roman" w:hAnsi="Times New Roman" w:cs="Times New Roman"/>
          <w:b/>
          <w:sz w:val="28"/>
          <w:szCs w:val="28"/>
          <w:lang w:val="uk-UA" w:eastAsia="ru-RU"/>
        </w:rPr>
      </w:pPr>
      <w:r w:rsidRPr="002B56DE">
        <w:rPr>
          <w:rFonts w:ascii="Times New Roman" w:eastAsia="Times New Roman" w:hAnsi="Times New Roman" w:cs="Times New Roman"/>
          <w:b/>
          <w:sz w:val="28"/>
          <w:szCs w:val="28"/>
          <w:lang w:val="uk-UA" w:eastAsia="ru-RU"/>
        </w:rPr>
        <w:t>Вибір найбільш оптимального альтернативного способу досягнення цілей</w:t>
      </w:r>
    </w:p>
    <w:p w:rsidR="00DD2D57" w:rsidRPr="00CA5C63" w:rsidRDefault="00DD2D57" w:rsidP="00DD2D57">
      <w:pPr>
        <w:pStyle w:val="a3"/>
        <w:spacing w:after="120" w:line="240" w:lineRule="auto"/>
        <w:rPr>
          <w:rFonts w:ascii="Times New Roman" w:eastAsia="Times New Roman" w:hAnsi="Times New Roman" w:cs="Times New Roman"/>
          <w:b/>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421"/>
        <w:gridCol w:w="3691"/>
      </w:tblGrid>
      <w:tr w:rsidR="00DD2D57" w:rsidRPr="00CA5C63" w:rsidTr="009E618A">
        <w:tc>
          <w:tcPr>
            <w:tcW w:w="2628" w:type="dxa"/>
          </w:tcPr>
          <w:p w:rsidR="00DD2D57" w:rsidRPr="00CA5C63" w:rsidRDefault="00DD2D57"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 xml:space="preserve">Рейтинг результативності (досягнення цілей під час вирішення проблеми) </w:t>
            </w:r>
          </w:p>
        </w:tc>
        <w:tc>
          <w:tcPr>
            <w:tcW w:w="3421" w:type="dxa"/>
          </w:tcPr>
          <w:p w:rsidR="00DD2D57" w:rsidRPr="00CA5C63" w:rsidRDefault="00DD2D57"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Бал результативності (за чотири бальною системою оцінки)</w:t>
            </w:r>
          </w:p>
        </w:tc>
        <w:tc>
          <w:tcPr>
            <w:tcW w:w="3691" w:type="dxa"/>
          </w:tcPr>
          <w:p w:rsidR="00DD2D57" w:rsidRPr="00CA5C63" w:rsidRDefault="00DD2D57" w:rsidP="009E618A">
            <w:pPr>
              <w:spacing w:after="0" w:line="240" w:lineRule="auto"/>
              <w:jc w:val="center"/>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bCs/>
                <w:sz w:val="28"/>
                <w:szCs w:val="28"/>
                <w:lang w:eastAsia="uk-UA"/>
              </w:rPr>
              <w:t>Коментарі щодо присвоєння відповідного бала</w:t>
            </w:r>
          </w:p>
        </w:tc>
      </w:tr>
      <w:tr w:rsidR="00DD2D57" w:rsidRPr="00CA5C63" w:rsidTr="009E618A">
        <w:tc>
          <w:tcPr>
            <w:tcW w:w="2628" w:type="dxa"/>
          </w:tcPr>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3421" w:type="dxa"/>
          </w:tcPr>
          <w:p w:rsidR="00DD2D57" w:rsidRPr="00CA5C63" w:rsidRDefault="00DD2D57"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1</w:t>
            </w:r>
          </w:p>
        </w:tc>
        <w:tc>
          <w:tcPr>
            <w:tcW w:w="3691" w:type="dxa"/>
          </w:tcPr>
          <w:p w:rsidR="00DD2D57" w:rsidRPr="00CA5C63" w:rsidRDefault="00DD2D57" w:rsidP="009E618A">
            <w:pPr>
              <w:spacing w:after="0" w:line="240" w:lineRule="auto"/>
              <w:jc w:val="both"/>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sz w:val="28"/>
                <w:szCs w:val="28"/>
                <w:lang w:eastAsia="ru-RU"/>
              </w:rPr>
              <w:t xml:space="preserve">Поставлені цілі не будуть досягнуті, проблема продовжує існувати. </w:t>
            </w:r>
          </w:p>
        </w:tc>
      </w:tr>
      <w:tr w:rsidR="00DD2D57" w:rsidRPr="00CA5C63" w:rsidTr="009E618A">
        <w:tc>
          <w:tcPr>
            <w:tcW w:w="2628" w:type="dxa"/>
          </w:tcPr>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2.</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Реєстрація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tc>
        <w:tc>
          <w:tcPr>
            <w:tcW w:w="3421" w:type="dxa"/>
          </w:tcPr>
          <w:p w:rsidR="00DD2D57" w:rsidRPr="00CA5C63" w:rsidRDefault="00DD2D57" w:rsidP="009E618A">
            <w:pPr>
              <w:spacing w:after="0" w:line="240" w:lineRule="auto"/>
              <w:jc w:val="center"/>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4</w:t>
            </w:r>
          </w:p>
        </w:tc>
        <w:tc>
          <w:tcPr>
            <w:tcW w:w="3691"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Cs/>
                <w:sz w:val="28"/>
                <w:szCs w:val="28"/>
                <w:lang w:eastAsia="uk-UA"/>
              </w:rPr>
            </w:pPr>
            <w:r w:rsidRPr="00CA5C63">
              <w:rPr>
                <w:rFonts w:ascii="Times New Roman" w:eastAsia="Times New Roman" w:hAnsi="Times New Roman" w:cs="Times New Roman"/>
                <w:sz w:val="28"/>
                <w:szCs w:val="28"/>
                <w:lang w:eastAsia="ru-RU"/>
              </w:rPr>
              <w:t xml:space="preserve">Реєстрація </w:t>
            </w:r>
            <w:r w:rsidRPr="00CA5C63">
              <w:rPr>
                <w:rFonts w:ascii="Times New Roman" w:eastAsia="Times New Roman" w:hAnsi="Times New Roman" w:cs="Times New Roman"/>
                <w:bCs/>
                <w:sz w:val="28"/>
                <w:szCs w:val="28"/>
                <w:lang w:eastAsia="uk-UA"/>
              </w:rPr>
              <w:t>проекту наказу забезпечить приведення нормативно-правового акта у відповідність до Конституції та законодавства України, що дозволить надрокористувачам належним чином здійснювати опрацювання матеріалів геолого-економічних оцінок родовищ вуглеводнів, обов'язковість яких визначена законодавством України. Цілі прийняття регуляторного акта, які можуть бути досягнуті повною мірою (проблема більше існувати не буде).</w:t>
            </w:r>
          </w:p>
        </w:tc>
      </w:tr>
    </w:tbl>
    <w:p w:rsidR="00DD2D57" w:rsidRPr="00CA5C63" w:rsidRDefault="00DD2D57" w:rsidP="00DD2D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2086"/>
        <w:gridCol w:w="2647"/>
        <w:gridCol w:w="2539"/>
      </w:tblGrid>
      <w:tr w:rsidR="00DD2D57" w:rsidRPr="00CA5C63" w:rsidTr="009E618A">
        <w:tc>
          <w:tcPr>
            <w:tcW w:w="2468" w:type="dxa"/>
          </w:tcPr>
          <w:p w:rsidR="00DD2D57" w:rsidRPr="00CA5C63" w:rsidRDefault="00DD2D57" w:rsidP="009E618A">
            <w:pPr>
              <w:tabs>
                <w:tab w:val="left" w:pos="-3686"/>
              </w:tabs>
              <w:spacing w:after="0" w:line="240" w:lineRule="auto"/>
              <w:ind w:right="45"/>
              <w:jc w:val="center"/>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Рейтинг результативності</w:t>
            </w:r>
          </w:p>
        </w:tc>
        <w:tc>
          <w:tcPr>
            <w:tcW w:w="2086" w:type="dxa"/>
          </w:tcPr>
          <w:p w:rsidR="00DD2D57" w:rsidRPr="00CA5C63" w:rsidRDefault="00DD2D57" w:rsidP="009E618A">
            <w:pPr>
              <w:tabs>
                <w:tab w:val="left" w:pos="-3686"/>
              </w:tabs>
              <w:spacing w:after="0" w:line="240" w:lineRule="auto"/>
              <w:ind w:right="45"/>
              <w:jc w:val="center"/>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Вигоди (підсумок)</w:t>
            </w:r>
          </w:p>
        </w:tc>
        <w:tc>
          <w:tcPr>
            <w:tcW w:w="2647" w:type="dxa"/>
          </w:tcPr>
          <w:p w:rsidR="00DD2D57" w:rsidRPr="00CA5C63" w:rsidRDefault="00DD2D57" w:rsidP="009E618A">
            <w:pPr>
              <w:tabs>
                <w:tab w:val="left" w:pos="-3686"/>
              </w:tabs>
              <w:spacing w:after="0" w:line="240" w:lineRule="auto"/>
              <w:ind w:right="45"/>
              <w:jc w:val="center"/>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Витрати (підсумок)</w:t>
            </w:r>
          </w:p>
        </w:tc>
        <w:tc>
          <w:tcPr>
            <w:tcW w:w="2539" w:type="dxa"/>
          </w:tcPr>
          <w:p w:rsidR="00DD2D57" w:rsidRPr="00CA5C63" w:rsidRDefault="00DD2D57" w:rsidP="009E618A">
            <w:pPr>
              <w:tabs>
                <w:tab w:val="left" w:pos="-3686"/>
              </w:tabs>
              <w:spacing w:after="0" w:line="240" w:lineRule="auto"/>
              <w:ind w:right="45"/>
              <w:jc w:val="center"/>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Обґрунтування відповідного місця альтернативи у рейтингу</w:t>
            </w:r>
          </w:p>
        </w:tc>
      </w:tr>
      <w:tr w:rsidR="00DD2D57" w:rsidRPr="00CA5C63" w:rsidTr="009E618A">
        <w:tc>
          <w:tcPr>
            <w:tcW w:w="2468" w:type="dxa"/>
          </w:tcPr>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2086" w:type="dxa"/>
          </w:tcPr>
          <w:p w:rsidR="00DD2D57" w:rsidRPr="00CA5C63" w:rsidRDefault="00DD2D57" w:rsidP="009E618A">
            <w:pPr>
              <w:tabs>
                <w:tab w:val="left" w:pos="-3686"/>
              </w:tabs>
              <w:spacing w:after="0" w:line="240" w:lineRule="auto"/>
              <w:rPr>
                <w:rFonts w:ascii="Times New Roman" w:eastAsia="Times New Roman" w:hAnsi="Times New Roman"/>
                <w:sz w:val="28"/>
                <w:szCs w:val="28"/>
                <w:lang w:eastAsia="ru-RU"/>
              </w:rPr>
            </w:pPr>
            <w:r w:rsidRPr="00CA5C63">
              <w:rPr>
                <w:rFonts w:ascii="Times New Roman" w:eastAsia="Times New Roman" w:hAnsi="Times New Roman"/>
                <w:sz w:val="28"/>
                <w:szCs w:val="28"/>
                <w:lang w:eastAsia="ru-RU"/>
              </w:rPr>
              <w:t>Вигоди відсутні</w:t>
            </w:r>
          </w:p>
        </w:tc>
        <w:tc>
          <w:tcPr>
            <w:tcW w:w="2647"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sz w:val="28"/>
                <w:szCs w:val="28"/>
                <w:lang w:eastAsia="uk-UA"/>
              </w:rPr>
              <w:t>Відсутність державної реєстрації нормативно-правового акта призведе до ускладнення відносин у сфері користування нафтогазоносними надрами.</w:t>
            </w:r>
          </w:p>
        </w:tc>
        <w:tc>
          <w:tcPr>
            <w:tcW w:w="2539"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sz w:val="28"/>
                <w:szCs w:val="28"/>
                <w:lang w:eastAsia="ru-RU"/>
              </w:rPr>
              <w:t>Підзаконний нормативно-правовий акт не буде приведено у відповідність до діючого законодавства, що унеможливить регулювання відносин у сфері управління користуванням нафтогазоносними надрами.</w:t>
            </w:r>
          </w:p>
        </w:tc>
      </w:tr>
      <w:tr w:rsidR="00DD2D57" w:rsidRPr="00CA5C63" w:rsidTr="009E618A">
        <w:tc>
          <w:tcPr>
            <w:tcW w:w="2468" w:type="dxa"/>
          </w:tcPr>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2.</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Реєстрація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tc>
        <w:tc>
          <w:tcPr>
            <w:tcW w:w="2086"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sz w:val="28"/>
                <w:szCs w:val="28"/>
                <w:lang w:eastAsia="ru-RU"/>
              </w:rPr>
              <w:t>Належна реалізація державної політики у сфері геологічного вивчення та раціонального використання нафтогазоно-сних надр.</w:t>
            </w:r>
          </w:p>
        </w:tc>
        <w:tc>
          <w:tcPr>
            <w:tcW w:w="2647"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sz w:val="28"/>
                <w:szCs w:val="28"/>
                <w:lang w:eastAsia="ru-RU"/>
              </w:rPr>
              <w:t>Додаткові витрати відсутні</w:t>
            </w:r>
          </w:p>
        </w:tc>
        <w:tc>
          <w:tcPr>
            <w:tcW w:w="2539"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Зазначена мета досягається шляхом розроблення відповідного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p>
        </w:tc>
      </w:tr>
    </w:tbl>
    <w:p w:rsidR="00DD2D57" w:rsidRPr="00CA5C63" w:rsidRDefault="00DD2D57" w:rsidP="00DD2D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5"/>
        <w:gridCol w:w="3608"/>
        <w:gridCol w:w="3227"/>
      </w:tblGrid>
      <w:tr w:rsidR="00DD2D57" w:rsidRPr="00CA5C63" w:rsidTr="009E618A">
        <w:tc>
          <w:tcPr>
            <w:tcW w:w="2905" w:type="dxa"/>
          </w:tcPr>
          <w:p w:rsidR="00DD2D57" w:rsidRPr="00CA5C63" w:rsidRDefault="00DD2D57" w:rsidP="009E618A">
            <w:pPr>
              <w:tabs>
                <w:tab w:val="left" w:pos="-3686"/>
              </w:tabs>
              <w:spacing w:after="0" w:line="240" w:lineRule="auto"/>
              <w:ind w:right="45"/>
              <w:jc w:val="center"/>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Рейтинг</w:t>
            </w:r>
          </w:p>
        </w:tc>
        <w:tc>
          <w:tcPr>
            <w:tcW w:w="3608"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 xml:space="preserve">Аргументи щодо обраної альтернативи/причини відмови від альтернативи </w:t>
            </w:r>
          </w:p>
        </w:tc>
        <w:tc>
          <w:tcPr>
            <w:tcW w:w="3227"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b/>
                <w:sz w:val="28"/>
                <w:szCs w:val="28"/>
                <w:lang w:eastAsia="ru-RU"/>
              </w:rPr>
              <w:t>Оцінка ризику зовнішніх чинників на дію запропонованого регуляторного акта</w:t>
            </w:r>
          </w:p>
        </w:tc>
      </w:tr>
      <w:tr w:rsidR="00DD2D57" w:rsidRPr="00CA5C63" w:rsidTr="009E618A">
        <w:tc>
          <w:tcPr>
            <w:tcW w:w="2905" w:type="dxa"/>
          </w:tcPr>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1.</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Збереження ситуації, яка існує на цей час</w:t>
            </w:r>
          </w:p>
        </w:tc>
        <w:tc>
          <w:tcPr>
            <w:tcW w:w="3608"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Неприйнятна альтернатива з огляду на необхідність приведення нормативно-правового акта у відповідність до актів вищої сили.</w:t>
            </w:r>
          </w:p>
        </w:tc>
        <w:tc>
          <w:tcPr>
            <w:tcW w:w="3227" w:type="dxa"/>
          </w:tcPr>
          <w:p w:rsidR="00DD2D57" w:rsidRPr="00CA5C63" w:rsidRDefault="00DD2D57" w:rsidP="009E618A">
            <w:pPr>
              <w:tabs>
                <w:tab w:val="left" w:pos="-3686"/>
              </w:tabs>
              <w:spacing w:after="0" w:line="240" w:lineRule="auto"/>
              <w:ind w:right="45"/>
              <w:jc w:val="center"/>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Х</w:t>
            </w:r>
          </w:p>
        </w:tc>
      </w:tr>
      <w:tr w:rsidR="00DD2D57" w:rsidRPr="00CA5C63" w:rsidTr="009E618A">
        <w:tc>
          <w:tcPr>
            <w:tcW w:w="2905" w:type="dxa"/>
          </w:tcPr>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Альтернатива 2.</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Реєстрація проекту наказу Міністерства екології та природних ресурсів України «Про затвердження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w:t>
            </w:r>
          </w:p>
          <w:p w:rsidR="00DD2D57" w:rsidRPr="00CA5C63" w:rsidRDefault="00DD2D57" w:rsidP="009E618A">
            <w:pPr>
              <w:spacing w:after="0" w:line="240" w:lineRule="auto"/>
              <w:jc w:val="both"/>
              <w:rPr>
                <w:rFonts w:ascii="Times New Roman" w:eastAsia="Times New Roman" w:hAnsi="Times New Roman" w:cs="Times New Roman"/>
                <w:sz w:val="28"/>
                <w:szCs w:val="28"/>
                <w:lang w:eastAsia="ru-RU"/>
              </w:rPr>
            </w:pPr>
          </w:p>
        </w:tc>
        <w:tc>
          <w:tcPr>
            <w:tcW w:w="3608" w:type="dxa"/>
          </w:tcPr>
          <w:p w:rsidR="00DD2D57" w:rsidRPr="00CA5C63" w:rsidRDefault="00DD2D57" w:rsidP="009E618A">
            <w:pPr>
              <w:spacing w:after="120" w:line="240" w:lineRule="auto"/>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sz w:val="28"/>
                <w:szCs w:val="28"/>
                <w:lang w:eastAsia="ru-RU"/>
              </w:rPr>
              <w:t xml:space="preserve">Реєстрація </w:t>
            </w:r>
            <w:r w:rsidRPr="00CA5C63">
              <w:rPr>
                <w:rFonts w:ascii="Times New Roman" w:eastAsia="Times New Roman" w:hAnsi="Times New Roman" w:cs="Times New Roman"/>
                <w:bCs/>
                <w:sz w:val="28"/>
                <w:szCs w:val="28"/>
                <w:lang w:eastAsia="ru-RU"/>
              </w:rPr>
              <w:t xml:space="preserve">проекту дозволить привести Інструкцію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 у відповідність до чинного законодавства. </w:t>
            </w:r>
          </w:p>
        </w:tc>
        <w:tc>
          <w:tcPr>
            <w:tcW w:w="3227" w:type="dxa"/>
          </w:tcPr>
          <w:p w:rsidR="00DD2D57" w:rsidRPr="00CA5C63" w:rsidRDefault="00DD2D57" w:rsidP="009E618A">
            <w:pPr>
              <w:tabs>
                <w:tab w:val="left" w:pos="-3686"/>
              </w:tabs>
              <w:spacing w:after="0" w:line="240" w:lineRule="auto"/>
              <w:ind w:right="45"/>
              <w:jc w:val="both"/>
              <w:rPr>
                <w:rFonts w:ascii="Times New Roman" w:eastAsia="Times New Roman" w:hAnsi="Times New Roman" w:cs="Times New Roman"/>
                <w:b/>
                <w:sz w:val="28"/>
                <w:szCs w:val="28"/>
                <w:lang w:eastAsia="ru-RU"/>
              </w:rPr>
            </w:pPr>
            <w:r w:rsidRPr="00CA5C63">
              <w:rPr>
                <w:rFonts w:ascii="Times New Roman" w:eastAsia="Times New Roman" w:hAnsi="Times New Roman" w:cs="Times New Roman"/>
                <w:sz w:val="28"/>
                <w:szCs w:val="28"/>
                <w:lang w:eastAsia="ru-RU"/>
              </w:rPr>
              <w:t>Ризик зовнішніх чинників на дію запропонованого акта відсутній, оскільки суб’єкти господарювання та громадяни зацікавлені у приведенні законодавства у відповідність до прийнятих законів.</w:t>
            </w:r>
          </w:p>
        </w:tc>
      </w:tr>
    </w:tbl>
    <w:p w:rsidR="008375B9" w:rsidRDefault="008375B9" w:rsidP="00D250B0">
      <w:pPr>
        <w:pStyle w:val="a3"/>
        <w:spacing w:line="240" w:lineRule="auto"/>
        <w:ind w:left="0" w:firstLine="709"/>
        <w:jc w:val="both"/>
        <w:rPr>
          <w:rFonts w:ascii="Times New Roman" w:hAnsi="Times New Roman" w:cs="Times New Roman"/>
          <w:sz w:val="28"/>
          <w:szCs w:val="28"/>
          <w:lang w:val="uk-UA"/>
        </w:rPr>
      </w:pPr>
    </w:p>
    <w:p w:rsidR="002B56DE" w:rsidRPr="00A429E4" w:rsidRDefault="002B56DE" w:rsidP="002B56DE">
      <w:pPr>
        <w:pStyle w:val="a3"/>
        <w:numPr>
          <w:ilvl w:val="0"/>
          <w:numId w:val="5"/>
        </w:numPr>
        <w:spacing w:before="240" w:line="240" w:lineRule="auto"/>
        <w:jc w:val="center"/>
        <w:rPr>
          <w:rFonts w:ascii="Times New Roman" w:eastAsia="Times New Roman" w:hAnsi="Times New Roman" w:cs="Times New Roman"/>
          <w:b/>
          <w:sz w:val="28"/>
          <w:szCs w:val="28"/>
          <w:lang w:val="uk-UA" w:eastAsia="ru-RU"/>
        </w:rPr>
      </w:pPr>
      <w:r w:rsidRPr="00A429E4">
        <w:rPr>
          <w:rFonts w:ascii="Times New Roman" w:eastAsia="Times New Roman" w:hAnsi="Times New Roman" w:cs="Times New Roman"/>
          <w:b/>
          <w:sz w:val="28"/>
          <w:szCs w:val="28"/>
          <w:lang w:val="uk-UA" w:eastAsia="ru-RU"/>
        </w:rPr>
        <w:t>Механізм та заходи, які забезпечать розв’язання визначеної проблеми</w:t>
      </w:r>
    </w:p>
    <w:p w:rsidR="00DD2D57" w:rsidRPr="00CA5C63" w:rsidRDefault="00DD2D57" w:rsidP="00DD2D57">
      <w:pPr>
        <w:spacing w:after="0" w:line="240" w:lineRule="auto"/>
        <w:ind w:firstLine="851"/>
        <w:jc w:val="both"/>
        <w:rPr>
          <w:rFonts w:ascii="Times New Roman" w:hAnsi="Times New Roman" w:cs="Times New Roman"/>
          <w:sz w:val="28"/>
          <w:szCs w:val="28"/>
        </w:rPr>
      </w:pPr>
      <w:r w:rsidRPr="00CA5C63">
        <w:rPr>
          <w:rFonts w:ascii="Times New Roman" w:hAnsi="Times New Roman" w:cs="Times New Roman"/>
          <w:sz w:val="28"/>
          <w:szCs w:val="28"/>
        </w:rPr>
        <w:t>Для досягнення поставлених цілей проектом акта передбачається затвердження оновленої редакції Інструкції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 з метою приведення її у відповідність до вимог чинного законодавства.</w:t>
      </w:r>
    </w:p>
    <w:p w:rsidR="00DD2D57" w:rsidRPr="00CA5C63" w:rsidRDefault="00DD2D57" w:rsidP="00DD2D57">
      <w:pPr>
        <w:pStyle w:val="a3"/>
        <w:spacing w:line="240" w:lineRule="auto"/>
        <w:jc w:val="both"/>
        <w:rPr>
          <w:rFonts w:ascii="Times New Roman" w:hAnsi="Times New Roman" w:cs="Times New Roman"/>
          <w:sz w:val="28"/>
          <w:szCs w:val="28"/>
        </w:rPr>
      </w:pPr>
      <w:r w:rsidRPr="00CA5C63">
        <w:rPr>
          <w:rFonts w:ascii="Times New Roman" w:hAnsi="Times New Roman" w:cs="Times New Roman"/>
          <w:sz w:val="28"/>
          <w:szCs w:val="28"/>
        </w:rPr>
        <w:t>Для впровадження цього регуляторного акта необхідно здійснити такі</w:t>
      </w:r>
    </w:p>
    <w:p w:rsidR="00DD2D57" w:rsidRPr="00CA5C63" w:rsidRDefault="00DD2D57" w:rsidP="00DD2D57">
      <w:pPr>
        <w:pStyle w:val="a3"/>
        <w:spacing w:line="240" w:lineRule="auto"/>
        <w:ind w:left="0"/>
        <w:jc w:val="both"/>
        <w:rPr>
          <w:rFonts w:ascii="Times New Roman" w:hAnsi="Times New Roman" w:cs="Times New Roman"/>
          <w:sz w:val="28"/>
          <w:szCs w:val="28"/>
        </w:rPr>
      </w:pPr>
      <w:r w:rsidRPr="00CA5C63">
        <w:rPr>
          <w:rFonts w:ascii="Times New Roman" w:hAnsi="Times New Roman" w:cs="Times New Roman"/>
          <w:sz w:val="28"/>
          <w:szCs w:val="28"/>
        </w:rPr>
        <w:t>організаційні заходи:</w:t>
      </w:r>
    </w:p>
    <w:p w:rsidR="00DD2D57" w:rsidRPr="00CA5C63" w:rsidRDefault="00DD2D57" w:rsidP="00DD2D57">
      <w:pPr>
        <w:pStyle w:val="a3"/>
        <w:spacing w:line="240" w:lineRule="auto"/>
        <w:ind w:left="0" w:firstLine="851"/>
        <w:jc w:val="both"/>
        <w:rPr>
          <w:rFonts w:ascii="Times New Roman" w:hAnsi="Times New Roman" w:cs="Times New Roman"/>
          <w:sz w:val="28"/>
          <w:szCs w:val="28"/>
        </w:rPr>
      </w:pPr>
      <w:r w:rsidRPr="00CA5C63">
        <w:rPr>
          <w:rFonts w:ascii="Times New Roman" w:hAnsi="Times New Roman" w:cs="Times New Roman"/>
          <w:sz w:val="28"/>
          <w:szCs w:val="28"/>
        </w:rPr>
        <w:t>1)</w:t>
      </w:r>
      <w:r w:rsidRPr="00CA5C63">
        <w:rPr>
          <w:rFonts w:ascii="Times New Roman" w:hAnsi="Times New Roman" w:cs="Times New Roman"/>
          <w:sz w:val="28"/>
          <w:szCs w:val="28"/>
        </w:rPr>
        <w:tab/>
        <w:t>провести погодження проекту регуляторного акта із заінтересованими центральними органами виконавчої влади та подати на державну реєстрацію до Міністерства юстиції України;</w:t>
      </w:r>
    </w:p>
    <w:p w:rsidR="00DD2D57" w:rsidRPr="00CA5C63" w:rsidRDefault="00DD2D57" w:rsidP="00DD2D57">
      <w:pPr>
        <w:pStyle w:val="a3"/>
        <w:spacing w:line="240" w:lineRule="auto"/>
        <w:ind w:left="0" w:firstLine="851"/>
        <w:jc w:val="both"/>
        <w:rPr>
          <w:rFonts w:ascii="Times New Roman" w:hAnsi="Times New Roman" w:cs="Times New Roman"/>
          <w:sz w:val="28"/>
          <w:szCs w:val="28"/>
        </w:rPr>
      </w:pPr>
      <w:r w:rsidRPr="00CA5C63">
        <w:rPr>
          <w:rFonts w:ascii="Times New Roman" w:hAnsi="Times New Roman" w:cs="Times New Roman"/>
          <w:sz w:val="28"/>
          <w:szCs w:val="28"/>
        </w:rPr>
        <w:t>2)</w:t>
      </w:r>
      <w:r w:rsidRPr="00CA5C63">
        <w:rPr>
          <w:rFonts w:ascii="Times New Roman" w:hAnsi="Times New Roman" w:cs="Times New Roman"/>
          <w:sz w:val="28"/>
          <w:szCs w:val="28"/>
        </w:rPr>
        <w:tab/>
        <w:t>забезпечити інформування громадськості про вимоги регуляторного акта шляхом його оприлюднення в мережі Інтернету – на офіційному веб-сайті Державної служби геології та надр України.</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Механізм дії і реалізації: Державна комісія по запасах корисних копалин (ДКЗ), що діє при Державній службі геології та надр України, здійснює державну експертизу геолого-економічної оцінки родовищ нафти і газу за поданням надрокористувачів згідно з єдиною формою звітності (яку врегульовує Інструкція, що подається ) відповідно до таких правових актів:</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1) ст. 45 Кодексу України про надра;</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2) постановою Кабінету Міністрів України від 22 грудня 1994 року № 865 «Положення про порядок проведення державної експертизи та оцінки запасів корисних копалин»;</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3) постановою Кабінету Міністрів України від 10 листопада 2000 року № 1689 «Про затвердження Положення про Державну комісію по запасах корисних копалин».</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За результатами експертизи затверджуються запаси. На підставі затверджених запасів складається реальний план видобутку. Якщо на родовищі виконана дослідно-промислова розробка, затверджені запаси є підґрунтям для обґрунтування суб’єктом підприємництва проекту промислової розробки родовища.</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Ціль реалізації: За результатами експертизи звіту, що складений за Інструкцією про зміст, оформлення та порядок подання в Державну комісію України по запасах корисних копалин матеріалів геолого-економічної оцінки родовищ нафти і газу, затверджені ДКЗ запаси обліковуються у Державному балансі запасів України. Форма звітності затверджена і узгоджена Держстатом України. Статистичні дані про забезпеченість України реальними видобувними запасами нафти і газу потрапляють до керівництва держави для прийняття відповідних рішень з метою реалізації програм розвитку галузі.</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Так, наприклад, для збільшення видобутку нафти і газу Кабінетом Міністрів України доручено ПАТ «Укргазвидобування» збільшити видобуток газу до 2020 року і вийти на рівень 20 млдр. м</w:t>
      </w:r>
      <w:r w:rsidRPr="00CA5C63">
        <w:rPr>
          <w:rFonts w:ascii="Times New Roman" w:hAnsi="Times New Roman" w:cs="Times New Roman"/>
          <w:sz w:val="28"/>
          <w:szCs w:val="28"/>
          <w:vertAlign w:val="superscript"/>
        </w:rPr>
        <w:t>3</w:t>
      </w:r>
      <w:r w:rsidRPr="00CA5C63">
        <w:rPr>
          <w:rFonts w:ascii="Times New Roman" w:hAnsi="Times New Roman" w:cs="Times New Roman"/>
          <w:sz w:val="28"/>
          <w:szCs w:val="28"/>
        </w:rPr>
        <w:t>. Без знання кількості наявних видобувних запасів, приросту запасів, геолого-економічної доцільності буріння нових свердловин на ці запаси, виконати це завдання буде неможливо.</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Інший напрям реалізації Інструкції: Держгеонадра проводить конкурси на право використання ділянок нафтогазоносних надр на підставі затверджених у відповідності до Інструкції запасів і згідно з діючим законодавством надає спецдозволи на розробку нафтогазоносних об’єктів, де запаси затверджені згідно з Інструкцією.</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 xml:space="preserve">Очікувані результати: наявність видобутку запасів і облік кількості затверджених видобувних запасів уніфікованих за єдиними принципами, формою і змістом є складовою </w:t>
      </w:r>
      <w:r>
        <w:rPr>
          <w:rFonts w:ascii="Times New Roman" w:hAnsi="Times New Roman" w:cs="Times New Roman"/>
          <w:sz w:val="28"/>
          <w:szCs w:val="28"/>
        </w:rPr>
        <w:t>здобуття</w:t>
      </w:r>
      <w:r w:rsidRPr="00CA5C63">
        <w:rPr>
          <w:rFonts w:ascii="Times New Roman" w:hAnsi="Times New Roman" w:cs="Times New Roman"/>
          <w:sz w:val="28"/>
          <w:szCs w:val="28"/>
        </w:rPr>
        <w:t xml:space="preserve"> політичної незалежності України від імпорту вуглеводнів.</w:t>
      </w:r>
    </w:p>
    <w:p w:rsidR="00DD2D57" w:rsidRPr="00CA5C63" w:rsidRDefault="00DD2D57" w:rsidP="00DD2D57">
      <w:pPr>
        <w:pStyle w:val="a3"/>
        <w:spacing w:line="240" w:lineRule="auto"/>
        <w:ind w:left="0" w:firstLine="709"/>
        <w:jc w:val="both"/>
        <w:rPr>
          <w:rFonts w:ascii="Times New Roman" w:hAnsi="Times New Roman" w:cs="Times New Roman"/>
          <w:sz w:val="28"/>
          <w:szCs w:val="28"/>
        </w:rPr>
      </w:pPr>
      <w:r w:rsidRPr="00CA5C63">
        <w:rPr>
          <w:rFonts w:ascii="Times New Roman" w:hAnsi="Times New Roman" w:cs="Times New Roman"/>
          <w:sz w:val="28"/>
          <w:szCs w:val="28"/>
        </w:rPr>
        <w:t>Прогноз ситуації: підрахунок запасів за єдиними правилами дає об’єктивну уніфіковану і цілісну інформацію про реальну кількість запасів нафти і газу в Україні, прогнозування збільшення їх при відповідних інвестиціях і бурінні нових свердловин (що регламентується інструкцією), залучення передових технологій та інше.</w:t>
      </w:r>
    </w:p>
    <w:p w:rsidR="00A429E4" w:rsidRDefault="00A429E4" w:rsidP="006952F0">
      <w:pPr>
        <w:pStyle w:val="a3"/>
        <w:spacing w:line="240" w:lineRule="auto"/>
        <w:ind w:left="0" w:firstLine="851"/>
        <w:jc w:val="both"/>
        <w:rPr>
          <w:rFonts w:ascii="Times New Roman" w:hAnsi="Times New Roman" w:cs="Times New Roman"/>
        </w:rPr>
      </w:pPr>
    </w:p>
    <w:p w:rsidR="008002D7" w:rsidRPr="006F7BD3" w:rsidRDefault="008002D7" w:rsidP="006952F0">
      <w:pPr>
        <w:pStyle w:val="a3"/>
        <w:spacing w:line="240" w:lineRule="auto"/>
        <w:ind w:left="0" w:firstLine="851"/>
        <w:jc w:val="both"/>
        <w:rPr>
          <w:rFonts w:ascii="Times New Roman" w:hAnsi="Times New Roman" w:cs="Times New Roman"/>
        </w:rPr>
      </w:pPr>
    </w:p>
    <w:p w:rsidR="00A429E4" w:rsidRDefault="00A429E4" w:rsidP="00A429E4">
      <w:pPr>
        <w:pStyle w:val="a3"/>
        <w:numPr>
          <w:ilvl w:val="0"/>
          <w:numId w:val="5"/>
        </w:numPr>
        <w:spacing w:line="240" w:lineRule="auto"/>
        <w:jc w:val="center"/>
        <w:rPr>
          <w:rFonts w:ascii="Times New Roman" w:hAnsi="Times New Roman" w:cs="Times New Roman"/>
          <w:b/>
          <w:sz w:val="28"/>
          <w:szCs w:val="28"/>
          <w:lang w:val="uk-UA"/>
        </w:rPr>
      </w:pPr>
      <w:r w:rsidRPr="00A429E4">
        <w:rPr>
          <w:rFonts w:ascii="Times New Roman" w:hAnsi="Times New Roman" w:cs="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8002D7" w:rsidRPr="008002D7" w:rsidRDefault="008002D7" w:rsidP="008002D7">
      <w:pPr>
        <w:spacing w:after="0" w:line="240" w:lineRule="auto"/>
        <w:ind w:firstLine="851"/>
        <w:jc w:val="both"/>
        <w:rPr>
          <w:rFonts w:ascii="Times New Roman" w:hAnsi="Times New Roman" w:cs="Times New Roman"/>
          <w:sz w:val="28"/>
          <w:szCs w:val="28"/>
          <w:lang w:val="uk-UA"/>
        </w:rPr>
      </w:pPr>
      <w:r w:rsidRPr="008002D7">
        <w:rPr>
          <w:rFonts w:ascii="Times New Roman" w:hAnsi="Times New Roman" w:cs="Times New Roman"/>
          <w:sz w:val="28"/>
          <w:szCs w:val="28"/>
          <w:lang w:val="uk-UA"/>
        </w:rPr>
        <w:t>Проект Інструкції віддзеркалює в основних рисах і деталізує для умов родовищ нафти і газу, чинний на сьогодні порядок опрацювання матеріалів геолого-економічних оцінок запасів родовищ корисних копалин, визначений постановою Кабінету Міністрів України від 22 грудня 1994 року № 865. Тому додаткові витрати на реалізацію поданого регуляторного акта відсутні, так як умови, що встановлені законами України та рішеннями Уряду, є діючими, а Інструкція не встановлює додаткових адміністративних процедур щодо звітності про результати користування надрами, а тільки допомагає користувачам надр застосовувати чинні законодавчі акти з користування надрами до конкретних умов розвідки та розробки родовищ нафти і газу.</w:t>
      </w:r>
    </w:p>
    <w:p w:rsidR="008002D7" w:rsidRPr="00CA5C63" w:rsidRDefault="008002D7" w:rsidP="008002D7">
      <w:pPr>
        <w:spacing w:after="0" w:line="240" w:lineRule="auto"/>
        <w:ind w:firstLine="851"/>
        <w:jc w:val="both"/>
        <w:rPr>
          <w:rFonts w:ascii="Times New Roman" w:hAnsi="Times New Roman" w:cs="Times New Roman"/>
          <w:sz w:val="28"/>
          <w:szCs w:val="28"/>
        </w:rPr>
      </w:pPr>
      <w:r w:rsidRPr="00CA5C63">
        <w:rPr>
          <w:rFonts w:ascii="Times New Roman" w:hAnsi="Times New Roman" w:cs="Times New Roman"/>
          <w:sz w:val="28"/>
          <w:szCs w:val="28"/>
        </w:rPr>
        <w:t>Реалізація регуляторного акта не потребуватиме додаткових витрат та ресурсів органів виконавчої влади, органів місцевого самоврядування. Грошові витрати суб’єктів господарювання, що виникають під час виконання вимог даного регулювання до опрацювання текстових та графічних матеріалів – є мінімальними, тому що всі вони входять до складу обов’язкової документації, що опрацьовується у виробничих підрозділах і використовується для виробничого проектування та поточного управління процесами розвідки і розробки родовищ вуглеводнів відповідно до чинного законодавства.</w:t>
      </w:r>
    </w:p>
    <w:p w:rsidR="008002D7" w:rsidRPr="00CA5C63" w:rsidRDefault="008002D7" w:rsidP="008002D7">
      <w:pPr>
        <w:spacing w:after="0" w:line="240" w:lineRule="auto"/>
        <w:ind w:firstLine="709"/>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Користування надрами у сфері нафтогазоносного комплексу здійснюють виключно великі підприємства (немає місця для малого підприємництва) зі значними коштами для інвестицій з їх окупністю у період 1-3-7 років залежно від складності і глибин залягання покладів вуглеводнів (в окремих випадках глибини залягання становлять більше 6000 м). Витрати на складання звіту і виконання підрахунку запасів та їхньої геолого-економічної оцінки становлять від кількох десятків тисяч до сотень тисяч грн і є незначними у порівнянні з інвестиціями і прибутками нафтогазодобувних підприємств (вартість тільки однієї свердловини глибиною біля 6000 м становить близько 200-250 млн грн, а буриться зазвичай ряд свердловин; додатково вкладаються значні кошти на облаштування родовища, пункти підготовки газу і нафти, трубопроводи, дороги, лінії електропередачі та багато ін.). Крім того періодичний підрахунок запасів і належний облік видобутку унеможливить зловживання та корупцію.</w:t>
      </w:r>
    </w:p>
    <w:p w:rsidR="008002D7" w:rsidRPr="00CA5C63" w:rsidRDefault="008002D7" w:rsidP="008002D7">
      <w:pPr>
        <w:spacing w:after="0" w:line="240" w:lineRule="auto"/>
        <w:ind w:firstLine="709"/>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Баланс інтересів суб’єктів господарювання і держави полягає у тому, що суб’єкти господарювання отримують привабливий прибуток від реалізації вуглеводнів, а держава </w:t>
      </w:r>
      <w:r w:rsidRPr="00CA5C63">
        <w:rPr>
          <w:rFonts w:ascii="Times New Roman" w:eastAsia="Times New Roman" w:hAnsi="Times New Roman" w:cs="Times New Roman"/>
          <w:sz w:val="28"/>
          <w:szCs w:val="28"/>
          <w:lang w:eastAsia="ru-RU"/>
        </w:rPr>
        <w:noBreakHyphen/>
        <w:t xml:space="preserve"> забезпечення власним видобутком вуглеводнів і податки від обсягу реалізації продукції з родовища (більше 60% становлять надходження до бюджетів та державних цільових фондів). Економічні розрахунки та вигоди сторін визначаються у кожному звіті з підрахунку запасів та їх геолого-економічної оцінки.</w:t>
      </w:r>
    </w:p>
    <w:p w:rsidR="008002D7" w:rsidRPr="00CA5C63" w:rsidRDefault="008002D7" w:rsidP="008002D7">
      <w:pPr>
        <w:tabs>
          <w:tab w:val="num" w:pos="0"/>
        </w:tabs>
        <w:spacing w:after="0" w:line="240" w:lineRule="auto"/>
        <w:ind w:firstLine="709"/>
        <w:jc w:val="both"/>
        <w:rPr>
          <w:rFonts w:ascii="Times New Roman" w:hAnsi="Times New Roman" w:cs="Times New Roman"/>
          <w:sz w:val="28"/>
          <w:szCs w:val="28"/>
        </w:rPr>
      </w:pPr>
      <w:r w:rsidRPr="00CA5C63">
        <w:rPr>
          <w:rFonts w:ascii="Times New Roman" w:hAnsi="Times New Roman" w:cs="Times New Roman"/>
          <w:sz w:val="28"/>
          <w:szCs w:val="28"/>
        </w:rPr>
        <w:t>Загальна схема розрахунків результатів основних техніко-економічних показників розробки одного газового родовища за погодженим з експертизою оптимальним варіантом навоводяться в таблиці:</w:t>
      </w:r>
    </w:p>
    <w:tbl>
      <w:tblPr>
        <w:tblW w:w="932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663"/>
        <w:gridCol w:w="1418"/>
        <w:gridCol w:w="1241"/>
      </w:tblGrid>
      <w:tr w:rsidR="008002D7" w:rsidRPr="00CA5C63" w:rsidTr="009E618A">
        <w:trPr>
          <w:trHeight w:val="110"/>
        </w:trPr>
        <w:tc>
          <w:tcPr>
            <w:tcW w:w="8081" w:type="dxa"/>
            <w:gridSpan w:val="2"/>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Показники</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од. вим.</w:t>
            </w:r>
          </w:p>
        </w:tc>
      </w:tr>
      <w:tr w:rsidR="008002D7" w:rsidRPr="00CA5C63" w:rsidTr="009E618A">
        <w:trPr>
          <w:trHeight w:val="52"/>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i/>
                <w:sz w:val="24"/>
                <w:szCs w:val="24"/>
              </w:rPr>
            </w:pPr>
            <w:r w:rsidRPr="00CA5C63">
              <w:rPr>
                <w:rFonts w:ascii="Times New Roman" w:hAnsi="Times New Roman" w:cs="Times New Roman"/>
                <w:i/>
                <w:sz w:val="24"/>
                <w:szCs w:val="24"/>
              </w:rPr>
              <w:t>1</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i/>
                <w:sz w:val="24"/>
                <w:szCs w:val="24"/>
              </w:rPr>
            </w:pPr>
            <w:r w:rsidRPr="00CA5C63">
              <w:rPr>
                <w:rFonts w:ascii="Times New Roman" w:hAnsi="Times New Roman" w:cs="Times New Roman"/>
                <w:i/>
                <w:sz w:val="24"/>
                <w:szCs w:val="24"/>
              </w:rPr>
              <w:t>2</w:t>
            </w:r>
          </w:p>
        </w:tc>
        <w:tc>
          <w:tcPr>
            <w:tcW w:w="1241" w:type="dxa"/>
            <w:vAlign w:val="center"/>
          </w:tcPr>
          <w:p w:rsidR="008002D7" w:rsidRPr="00CA5C63" w:rsidRDefault="008002D7" w:rsidP="009E618A">
            <w:pPr>
              <w:spacing w:after="0" w:line="240" w:lineRule="auto"/>
              <w:jc w:val="center"/>
              <w:rPr>
                <w:rFonts w:ascii="Times New Roman" w:hAnsi="Times New Roman" w:cs="Times New Roman"/>
                <w:i/>
                <w:sz w:val="24"/>
                <w:szCs w:val="24"/>
              </w:rPr>
            </w:pPr>
            <w:r w:rsidRPr="00CA5C63">
              <w:rPr>
                <w:rFonts w:ascii="Times New Roman" w:hAnsi="Times New Roman" w:cs="Times New Roman"/>
                <w:i/>
                <w:sz w:val="24"/>
                <w:szCs w:val="24"/>
              </w:rPr>
              <w:t>3</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Кількість проектних/діючих видобувних свердловин</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2/32</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св.</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Залишкова вартість основних фондів (ОФ)</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4777,9</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Проектний рентабельний період розробки</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38</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років</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Видобуток газу за рентабельний період розробки</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284,4</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млн м</w:t>
            </w:r>
            <w:r w:rsidRPr="00CA5C63">
              <w:rPr>
                <w:rFonts w:ascii="Times New Roman" w:hAnsi="Times New Roman" w:cs="Times New Roman"/>
                <w:sz w:val="24"/>
                <w:szCs w:val="24"/>
                <w:vertAlign w:val="superscript"/>
              </w:rPr>
              <w:t>3</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Ціна реалізації газу (без ПДВ)</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7866,0</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грн/тис.м</w:t>
            </w:r>
            <w:r w:rsidRPr="00CA5C63">
              <w:rPr>
                <w:rFonts w:ascii="Times New Roman" w:hAnsi="Times New Roman" w:cs="Times New Roman"/>
                <w:sz w:val="24"/>
                <w:szCs w:val="24"/>
                <w:vertAlign w:val="superscript"/>
              </w:rPr>
              <w:t>3</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Обсяг реалізації (без ПДВ)</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2223910,2</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Експлуатаційні витрати</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1649761,3</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 xml:space="preserve">           - у тому числі амортизація</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76070,2</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Собівартість видобутку газу</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5800,2</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грн/тис.м</w:t>
            </w:r>
            <w:r w:rsidRPr="00CA5C63">
              <w:rPr>
                <w:rFonts w:ascii="Times New Roman" w:hAnsi="Times New Roman" w:cs="Times New Roman"/>
                <w:sz w:val="24"/>
                <w:szCs w:val="24"/>
                <w:vertAlign w:val="superscript"/>
              </w:rPr>
              <w:t>3</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Балансовий прибуток</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574148,9</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Податок на прибуток</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103346,8</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Чистий прибуток</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470802,1</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Поточні капітальні вкладення (КВ)</w:t>
            </w:r>
          </w:p>
        </w:tc>
        <w:tc>
          <w:tcPr>
            <w:tcW w:w="1418" w:type="dxa"/>
            <w:noWrap/>
            <w:tcMar>
              <w:top w:w="18" w:type="dxa"/>
              <w:left w:w="18" w:type="dxa"/>
              <w:bottom w:w="0" w:type="dxa"/>
              <w:right w:w="18" w:type="dxa"/>
            </w:tcMar>
            <w:vAlign w:val="bottom"/>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71292,3</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Накопичений грошовий потік</w:t>
            </w:r>
          </w:p>
        </w:tc>
        <w:tc>
          <w:tcPr>
            <w:tcW w:w="1418" w:type="dxa"/>
            <w:noWrap/>
            <w:tcMar>
              <w:top w:w="18" w:type="dxa"/>
              <w:left w:w="18" w:type="dxa"/>
              <w:bottom w:w="0" w:type="dxa"/>
              <w:right w:w="18" w:type="dxa"/>
            </w:tcMar>
            <w:vAlign w:val="bottom"/>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475580,0</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Накопичений чистий дисконтований грошовий потік (ЧДГП)</w:t>
            </w:r>
          </w:p>
        </w:tc>
        <w:tc>
          <w:tcPr>
            <w:tcW w:w="1418" w:type="dxa"/>
            <w:noWrap/>
            <w:tcMar>
              <w:top w:w="18" w:type="dxa"/>
              <w:left w:w="18" w:type="dxa"/>
              <w:bottom w:w="0" w:type="dxa"/>
              <w:right w:w="18" w:type="dxa"/>
            </w:tcMar>
            <w:vAlign w:val="bottom"/>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142494,8</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Індекс прибутковості капіталовкладень</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4,5</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частка од.</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Коефіцієнт рентабельності промислу</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0,33</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частка од.</w:t>
            </w:r>
          </w:p>
        </w:tc>
      </w:tr>
      <w:tr w:rsidR="008002D7" w:rsidRPr="00CA5C63" w:rsidTr="009E618A">
        <w:trPr>
          <w:trHeight w:val="284"/>
        </w:trPr>
        <w:tc>
          <w:tcPr>
            <w:tcW w:w="6663" w:type="dxa"/>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Рентабельність виробничої діяльності:</w:t>
            </w:r>
          </w:p>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 xml:space="preserve">            - до виробничих фондів (ОФ та КВ)</w:t>
            </w:r>
          </w:p>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 xml:space="preserve">            - до експлуатаційних витрат</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p>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618,9</w:t>
            </w:r>
          </w:p>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28,5</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p>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w:t>
            </w:r>
          </w:p>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w:t>
            </w:r>
          </w:p>
        </w:tc>
      </w:tr>
      <w:tr w:rsidR="008002D7" w:rsidRPr="00CA5C63" w:rsidTr="009E618A">
        <w:trPr>
          <w:trHeight w:val="284"/>
        </w:trPr>
        <w:tc>
          <w:tcPr>
            <w:tcW w:w="6663" w:type="dxa"/>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Термін окупності капіталовкладень</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1</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рік</w:t>
            </w:r>
          </w:p>
        </w:tc>
      </w:tr>
      <w:tr w:rsidR="008002D7" w:rsidRPr="00CA5C63" w:rsidTr="009E618A">
        <w:trPr>
          <w:trHeight w:val="284"/>
        </w:trPr>
        <w:tc>
          <w:tcPr>
            <w:tcW w:w="6663" w:type="dxa"/>
            <w:noWrap/>
            <w:tcMar>
              <w:top w:w="18" w:type="dxa"/>
              <w:left w:w="18" w:type="dxa"/>
              <w:bottom w:w="0" w:type="dxa"/>
              <w:right w:w="18" w:type="dxa"/>
            </w:tcMar>
            <w:vAlign w:val="center"/>
          </w:tcPr>
          <w:p w:rsidR="008002D7" w:rsidRPr="00CA5C63" w:rsidRDefault="008002D7" w:rsidP="009E618A">
            <w:pPr>
              <w:spacing w:after="0" w:line="240" w:lineRule="auto"/>
              <w:rPr>
                <w:rFonts w:ascii="Times New Roman" w:hAnsi="Times New Roman" w:cs="Times New Roman"/>
                <w:sz w:val="24"/>
                <w:szCs w:val="24"/>
              </w:rPr>
            </w:pPr>
            <w:r w:rsidRPr="00CA5C63">
              <w:rPr>
                <w:rFonts w:ascii="Times New Roman" w:hAnsi="Times New Roman" w:cs="Times New Roman"/>
                <w:sz w:val="24"/>
                <w:szCs w:val="24"/>
              </w:rPr>
              <w:t>Надходження до бюджетів та державних цільових фондів</w:t>
            </w:r>
          </w:p>
        </w:tc>
        <w:tc>
          <w:tcPr>
            <w:tcW w:w="1418" w:type="dxa"/>
            <w:noWrap/>
            <w:tcMar>
              <w:top w:w="18" w:type="dxa"/>
              <w:left w:w="18" w:type="dxa"/>
              <w:bottom w:w="0" w:type="dxa"/>
              <w:right w:w="18" w:type="dxa"/>
            </w:tcMar>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1118508,1</w:t>
            </w:r>
          </w:p>
        </w:tc>
        <w:tc>
          <w:tcPr>
            <w:tcW w:w="1241" w:type="dxa"/>
            <w:vAlign w:val="center"/>
          </w:tcPr>
          <w:p w:rsidR="008002D7" w:rsidRPr="00CA5C63" w:rsidRDefault="008002D7" w:rsidP="009E618A">
            <w:pPr>
              <w:spacing w:after="0" w:line="240" w:lineRule="auto"/>
              <w:jc w:val="center"/>
              <w:rPr>
                <w:rFonts w:ascii="Times New Roman" w:hAnsi="Times New Roman" w:cs="Times New Roman"/>
                <w:sz w:val="24"/>
                <w:szCs w:val="24"/>
              </w:rPr>
            </w:pPr>
            <w:r w:rsidRPr="00CA5C63">
              <w:rPr>
                <w:rFonts w:ascii="Times New Roman" w:hAnsi="Times New Roman" w:cs="Times New Roman"/>
                <w:sz w:val="24"/>
                <w:szCs w:val="24"/>
              </w:rPr>
              <w:t>тис. грн</w:t>
            </w:r>
          </w:p>
        </w:tc>
      </w:tr>
    </w:tbl>
    <w:p w:rsidR="008002D7" w:rsidRPr="00CA5C63" w:rsidRDefault="008002D7" w:rsidP="008002D7">
      <w:pPr>
        <w:spacing w:after="0" w:line="240" w:lineRule="auto"/>
        <w:ind w:firstLine="709"/>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Визначення коефіцієнту рентабельності під час геолого-економічної оцінки родовища встановлено Податковим кодексом для нарахування податкових зобов’язань. </w:t>
      </w:r>
    </w:p>
    <w:p w:rsidR="008002D7" w:rsidRPr="00CA5C63" w:rsidRDefault="008002D7" w:rsidP="008002D7">
      <w:pPr>
        <w:spacing w:after="0" w:line="240" w:lineRule="auto"/>
        <w:ind w:firstLine="709"/>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В середньому </w:t>
      </w:r>
      <w:r w:rsidRPr="00CA5C63">
        <w:rPr>
          <w:rFonts w:ascii="Times New Roman" w:hAnsi="Times New Roman" w:cs="Times New Roman"/>
          <w:sz w:val="28"/>
          <w:szCs w:val="28"/>
        </w:rPr>
        <w:t xml:space="preserve">надходження до бюджетів та державних цільових фондів з одного родовища в рік становить біля 89 901 тис. грн., тому тільки при зупинці </w:t>
      </w:r>
      <w:r>
        <w:rPr>
          <w:rFonts w:ascii="Times New Roman" w:hAnsi="Times New Roman" w:cs="Times New Roman"/>
          <w:sz w:val="28"/>
          <w:szCs w:val="28"/>
        </w:rPr>
        <w:t>розробки</w:t>
      </w:r>
      <w:r w:rsidRPr="00D26E9D">
        <w:rPr>
          <w:rFonts w:ascii="Times New Roman" w:hAnsi="Times New Roman" w:cs="Times New Roman"/>
          <w:sz w:val="28"/>
          <w:szCs w:val="28"/>
        </w:rPr>
        <w:t xml:space="preserve"> </w:t>
      </w:r>
      <w:r w:rsidRPr="00CA5C63">
        <w:rPr>
          <w:rFonts w:ascii="Times New Roman" w:hAnsi="Times New Roman" w:cs="Times New Roman"/>
          <w:sz w:val="28"/>
          <w:szCs w:val="28"/>
        </w:rPr>
        <w:t>10 родовищ (незатвердження запасів) прямі втрати бюджету становитимуть біля 1 млрд грн. на рік.</w:t>
      </w:r>
    </w:p>
    <w:p w:rsidR="008002D7" w:rsidRPr="00CA5C63" w:rsidRDefault="008002D7" w:rsidP="008002D7">
      <w:pPr>
        <w:spacing w:after="0" w:line="240" w:lineRule="auto"/>
        <w:ind w:firstLine="709"/>
        <w:jc w:val="both"/>
        <w:rPr>
          <w:rFonts w:ascii="Times New Roman" w:eastAsia="Times New Roman" w:hAnsi="Times New Roman" w:cs="Times New Roman"/>
          <w:sz w:val="28"/>
          <w:szCs w:val="28"/>
          <w:lang w:eastAsia="ru-RU"/>
        </w:rPr>
      </w:pPr>
      <w:r w:rsidRPr="00CA5C63">
        <w:rPr>
          <w:rFonts w:ascii="Times New Roman" w:eastAsia="Times New Roman" w:hAnsi="Times New Roman" w:cs="Times New Roman"/>
          <w:sz w:val="28"/>
          <w:szCs w:val="28"/>
          <w:lang w:eastAsia="ru-RU"/>
        </w:rPr>
        <w:t xml:space="preserve">Загалом результати підрахунку запасів та їх геолого-економічної оцінки використовують у своїй діяльності наступні державні установи: Мінприроди та Держгеонадра </w:t>
      </w:r>
      <w:r w:rsidRPr="00CA5C63">
        <w:rPr>
          <w:rFonts w:ascii="Times New Roman" w:eastAsia="Times New Roman" w:hAnsi="Times New Roman" w:cs="Times New Roman"/>
          <w:sz w:val="28"/>
          <w:szCs w:val="28"/>
          <w:lang w:eastAsia="ru-RU"/>
        </w:rPr>
        <w:noBreakHyphen/>
        <w:t xml:space="preserve"> при наданні на конкурсних засадах спецдозволів на користування нафтогазоносними надрами; Міненерговугілля, Державна фіскальна служба, Геолконтроль, Держпраці </w:t>
      </w:r>
      <w:r w:rsidRPr="00CA5C63">
        <w:rPr>
          <w:rFonts w:ascii="Times New Roman" w:eastAsia="Times New Roman" w:hAnsi="Times New Roman" w:cs="Times New Roman"/>
          <w:sz w:val="28"/>
          <w:szCs w:val="28"/>
          <w:lang w:eastAsia="ru-RU"/>
        </w:rPr>
        <w:noBreakHyphen/>
        <w:t xml:space="preserve"> для надання гірничого відводу на розробку підрахованих і затверджених запасів нафти і газу, Держстат, керівництво держави </w:t>
      </w:r>
      <w:r w:rsidRPr="00CA5C63">
        <w:rPr>
          <w:rFonts w:ascii="Times New Roman" w:eastAsia="Times New Roman" w:hAnsi="Times New Roman" w:cs="Times New Roman"/>
          <w:sz w:val="28"/>
          <w:szCs w:val="28"/>
          <w:lang w:eastAsia="ru-RU"/>
        </w:rPr>
        <w:noBreakHyphen/>
        <w:t> для визначення кількості запасів і майбутнього видобутку вуглеводнів.</w:t>
      </w:r>
    </w:p>
    <w:p w:rsidR="008002D7" w:rsidRDefault="008002D7" w:rsidP="008002D7">
      <w:pPr>
        <w:spacing w:line="240" w:lineRule="auto"/>
        <w:ind w:firstLine="851"/>
        <w:jc w:val="both"/>
        <w:rPr>
          <w:rFonts w:ascii="Times New Roman" w:hAnsi="Times New Roman" w:cs="Times New Roman"/>
          <w:sz w:val="28"/>
          <w:szCs w:val="28"/>
        </w:rPr>
      </w:pPr>
      <w:r w:rsidRPr="00CA5C63">
        <w:rPr>
          <w:rFonts w:ascii="Times New Roman" w:hAnsi="Times New Roman" w:cs="Times New Roman"/>
          <w:sz w:val="28"/>
          <w:szCs w:val="28"/>
        </w:rPr>
        <w:t>Органи виконавчої влади не несуть бюджетних витрат на виконання вимог регуляторного акта, передбачених Додатком 3 «Бюджетні витрати на адміністрування регулювання для суб’єктів великого і середнього підприємництва».</w:t>
      </w:r>
    </w:p>
    <w:p w:rsidR="00D90CFE" w:rsidRPr="00D90CFE" w:rsidRDefault="00D90CFE" w:rsidP="008002D7">
      <w:pPr>
        <w:spacing w:line="240" w:lineRule="auto"/>
        <w:ind w:firstLine="851"/>
        <w:jc w:val="center"/>
        <w:rPr>
          <w:rFonts w:ascii="Times New Roman" w:hAnsi="Times New Roman" w:cs="Times New Roman"/>
          <w:b/>
          <w:sz w:val="28"/>
          <w:szCs w:val="28"/>
          <w:lang w:val="uk-UA"/>
        </w:rPr>
      </w:pPr>
      <w:r w:rsidRPr="00D90CFE">
        <w:rPr>
          <w:rFonts w:ascii="Times New Roman" w:hAnsi="Times New Roman" w:cs="Times New Roman"/>
          <w:b/>
          <w:sz w:val="28"/>
          <w:szCs w:val="28"/>
          <w:lang w:val="uk-UA"/>
        </w:rPr>
        <w:t>VII. Обґрунтування запропонованого строку дії регуляторного акта</w:t>
      </w:r>
    </w:p>
    <w:p w:rsidR="008002D7" w:rsidRDefault="008002D7" w:rsidP="008002D7">
      <w:pPr>
        <w:pStyle w:val="Style15"/>
        <w:widowControl/>
        <w:spacing w:line="240" w:lineRule="auto"/>
        <w:ind w:firstLine="709"/>
        <w:rPr>
          <w:rStyle w:val="FontStyle27"/>
          <w:sz w:val="28"/>
          <w:szCs w:val="28"/>
        </w:rPr>
      </w:pPr>
      <w:r w:rsidRPr="00CA5C63">
        <w:rPr>
          <w:rStyle w:val="FontStyle27"/>
          <w:sz w:val="28"/>
          <w:szCs w:val="28"/>
        </w:rPr>
        <w:t xml:space="preserve">Строк дії регуляторного акта не може бути обмежений у часі. </w:t>
      </w:r>
    </w:p>
    <w:p w:rsidR="008002D7" w:rsidRPr="008002D7" w:rsidRDefault="008002D7" w:rsidP="008002D7">
      <w:pPr>
        <w:pStyle w:val="Style15"/>
        <w:widowControl/>
        <w:spacing w:line="240" w:lineRule="auto"/>
        <w:ind w:firstLine="709"/>
        <w:rPr>
          <w:sz w:val="28"/>
          <w:szCs w:val="28"/>
        </w:rPr>
      </w:pPr>
      <w:r w:rsidRPr="008002D7">
        <w:rPr>
          <w:sz w:val="28"/>
          <w:szCs w:val="28"/>
        </w:rPr>
        <w:t>Акт набирає чинності з дня його офіційного опублікування.</w:t>
      </w:r>
    </w:p>
    <w:p w:rsidR="008002D7" w:rsidRPr="00CA5C63" w:rsidRDefault="008002D7" w:rsidP="008002D7">
      <w:pPr>
        <w:pStyle w:val="Style22"/>
        <w:widowControl/>
        <w:spacing w:line="240" w:lineRule="auto"/>
        <w:ind w:firstLine="709"/>
        <w:rPr>
          <w:rStyle w:val="FontStyle27"/>
          <w:sz w:val="28"/>
          <w:szCs w:val="28"/>
        </w:rPr>
      </w:pPr>
      <w:r w:rsidRPr="00CA5C63">
        <w:rPr>
          <w:rStyle w:val="FontStyle27"/>
          <w:sz w:val="28"/>
          <w:szCs w:val="28"/>
        </w:rPr>
        <w:t>Зміна строку дії регуляторного акта можлива в разі внесення змін до законодавства, на вимогах якого базується проект.</w:t>
      </w:r>
    </w:p>
    <w:p w:rsidR="00D90CFE" w:rsidRPr="008375B9" w:rsidRDefault="00D90CFE" w:rsidP="006952F0">
      <w:pPr>
        <w:pStyle w:val="a3"/>
        <w:spacing w:line="240" w:lineRule="auto"/>
        <w:ind w:left="0" w:firstLine="851"/>
        <w:jc w:val="both"/>
        <w:rPr>
          <w:rFonts w:ascii="Times New Roman" w:hAnsi="Times New Roman" w:cs="Times New Roman"/>
          <w:lang w:val="uk-UA"/>
        </w:rPr>
      </w:pPr>
    </w:p>
    <w:p w:rsidR="00D90CFE" w:rsidRPr="00561C16" w:rsidRDefault="00D90CFE" w:rsidP="00561C16">
      <w:pPr>
        <w:pStyle w:val="a3"/>
        <w:numPr>
          <w:ilvl w:val="0"/>
          <w:numId w:val="7"/>
        </w:numPr>
        <w:spacing w:line="240" w:lineRule="auto"/>
        <w:jc w:val="center"/>
        <w:rPr>
          <w:rFonts w:ascii="Times New Roman" w:hAnsi="Times New Roman" w:cs="Times New Roman"/>
          <w:b/>
          <w:sz w:val="28"/>
          <w:szCs w:val="28"/>
          <w:lang w:val="uk-UA"/>
        </w:rPr>
      </w:pPr>
      <w:r w:rsidRPr="00561C16">
        <w:rPr>
          <w:rFonts w:ascii="Times New Roman" w:hAnsi="Times New Roman" w:cs="Times New Roman"/>
          <w:b/>
          <w:sz w:val="28"/>
          <w:szCs w:val="28"/>
          <w:lang w:val="uk-UA"/>
        </w:rPr>
        <w:t>Визначення показників результативності дії регуляторного акта</w:t>
      </w:r>
    </w:p>
    <w:p w:rsidR="00D90CFE" w:rsidRPr="00D90CFE" w:rsidRDefault="00D90CFE" w:rsidP="00D90CFE">
      <w:pPr>
        <w:pStyle w:val="a3"/>
        <w:spacing w:before="240" w:line="240" w:lineRule="auto"/>
        <w:rPr>
          <w:rFonts w:ascii="Times New Roman" w:hAnsi="Times New Roman" w:cs="Times New Roman"/>
          <w:sz w:val="16"/>
          <w:szCs w:val="16"/>
          <w:lang w:val="uk-UA"/>
        </w:rPr>
      </w:pPr>
    </w:p>
    <w:p w:rsidR="00087CF1" w:rsidRPr="00F713D4" w:rsidRDefault="00087CF1" w:rsidP="00561C16">
      <w:pPr>
        <w:pStyle w:val="a3"/>
        <w:spacing w:line="240" w:lineRule="auto"/>
        <w:ind w:left="0" w:firstLine="851"/>
        <w:jc w:val="both"/>
        <w:rPr>
          <w:rFonts w:ascii="Times New Roman" w:hAnsi="Times New Roman" w:cs="Times New Roman"/>
          <w:sz w:val="28"/>
          <w:szCs w:val="28"/>
          <w:lang w:val="uk-UA"/>
        </w:rPr>
      </w:pPr>
      <w:r w:rsidRPr="00F713D4">
        <w:rPr>
          <w:rFonts w:ascii="Times New Roman" w:hAnsi="Times New Roman" w:cs="Times New Roman"/>
          <w:sz w:val="28"/>
          <w:szCs w:val="28"/>
          <w:lang w:val="uk-UA"/>
        </w:rPr>
        <w:t>Виходячи з цілей запропонованого регуляторного акта, для відстеження результативності цього регуляторного акта обрані такі показники:</w:t>
      </w:r>
    </w:p>
    <w:p w:rsidR="00087CF1" w:rsidRPr="00F713D4" w:rsidRDefault="00087CF1" w:rsidP="00561C16">
      <w:pPr>
        <w:pStyle w:val="a3"/>
        <w:spacing w:line="240" w:lineRule="auto"/>
        <w:ind w:left="0" w:firstLine="851"/>
        <w:jc w:val="both"/>
        <w:rPr>
          <w:rFonts w:ascii="Times New Roman" w:hAnsi="Times New Roman" w:cs="Times New Roman"/>
          <w:sz w:val="28"/>
          <w:szCs w:val="28"/>
          <w:lang w:val="uk-UA"/>
        </w:rPr>
      </w:pPr>
      <w:r w:rsidRPr="00F713D4">
        <w:rPr>
          <w:rFonts w:ascii="Times New Roman" w:hAnsi="Times New Roman" w:cs="Times New Roman"/>
          <w:sz w:val="28"/>
          <w:szCs w:val="28"/>
          <w:lang w:val="uk-UA"/>
        </w:rPr>
        <w:t xml:space="preserve">розмір надходжень до державних </w:t>
      </w:r>
      <w:r w:rsidR="00213C4A" w:rsidRPr="00F713D4">
        <w:rPr>
          <w:rFonts w:ascii="Times New Roman" w:hAnsi="Times New Roman" w:cs="Times New Roman"/>
          <w:sz w:val="28"/>
          <w:szCs w:val="28"/>
          <w:lang w:val="uk-UA"/>
        </w:rPr>
        <w:t>та</w:t>
      </w:r>
      <w:r w:rsidRPr="00F713D4">
        <w:rPr>
          <w:rFonts w:ascii="Times New Roman" w:hAnsi="Times New Roman" w:cs="Times New Roman"/>
          <w:sz w:val="28"/>
          <w:szCs w:val="28"/>
          <w:lang w:val="uk-UA"/>
        </w:rPr>
        <w:t xml:space="preserve"> місцевих бюджетів</w:t>
      </w:r>
      <w:r w:rsidR="00213C4A" w:rsidRPr="00F713D4">
        <w:rPr>
          <w:rFonts w:ascii="Times New Roman" w:hAnsi="Times New Roman" w:cs="Times New Roman"/>
          <w:sz w:val="28"/>
          <w:szCs w:val="28"/>
          <w:lang w:val="uk-UA"/>
        </w:rPr>
        <w:t xml:space="preserve"> і державних цільових фондів, пов’язаних з дією акта, </w:t>
      </w:r>
      <w:r w:rsidRPr="00F713D4">
        <w:rPr>
          <w:rFonts w:ascii="Times New Roman" w:hAnsi="Times New Roman" w:cs="Times New Roman"/>
          <w:sz w:val="28"/>
          <w:szCs w:val="28"/>
          <w:lang w:val="uk-UA"/>
        </w:rPr>
        <w:t>– залишається незмінним;</w:t>
      </w:r>
    </w:p>
    <w:p w:rsidR="00087CF1" w:rsidRPr="00F713D4" w:rsidRDefault="00087CF1" w:rsidP="00561C16">
      <w:pPr>
        <w:pStyle w:val="a3"/>
        <w:spacing w:line="240" w:lineRule="auto"/>
        <w:ind w:left="0" w:firstLine="851"/>
        <w:jc w:val="both"/>
        <w:rPr>
          <w:rFonts w:ascii="Times New Roman" w:hAnsi="Times New Roman" w:cs="Times New Roman"/>
          <w:sz w:val="28"/>
          <w:szCs w:val="28"/>
          <w:lang w:val="uk-UA"/>
        </w:rPr>
      </w:pPr>
      <w:r w:rsidRPr="00F713D4">
        <w:rPr>
          <w:rFonts w:ascii="Times New Roman" w:hAnsi="Times New Roman" w:cs="Times New Roman"/>
          <w:sz w:val="28"/>
          <w:szCs w:val="28"/>
          <w:lang w:val="uk-UA"/>
        </w:rPr>
        <w:t>кількість суб’єктів господарювання</w:t>
      </w:r>
      <w:r w:rsidR="00213C4A" w:rsidRPr="00F713D4">
        <w:rPr>
          <w:rFonts w:ascii="Times New Roman" w:hAnsi="Times New Roman" w:cs="Times New Roman"/>
          <w:sz w:val="28"/>
          <w:szCs w:val="28"/>
          <w:lang w:val="uk-UA"/>
        </w:rPr>
        <w:t xml:space="preserve"> та/або фізичних осіб, на яких поширюватиметься дія акта,</w:t>
      </w:r>
      <w:r w:rsidRPr="00F713D4">
        <w:rPr>
          <w:rFonts w:ascii="Times New Roman" w:hAnsi="Times New Roman" w:cs="Times New Roman"/>
          <w:sz w:val="28"/>
          <w:szCs w:val="28"/>
          <w:lang w:val="uk-UA"/>
        </w:rPr>
        <w:t xml:space="preserve"> - дорівнює кількості </w:t>
      </w:r>
      <w:r w:rsidR="00452D24">
        <w:rPr>
          <w:rFonts w:ascii="Times New Roman" w:hAnsi="Times New Roman" w:cs="Times New Roman"/>
          <w:sz w:val="28"/>
          <w:szCs w:val="28"/>
          <w:lang w:val="uk-UA"/>
        </w:rPr>
        <w:t>надрокористувачів</w:t>
      </w:r>
      <w:r w:rsidRPr="00F713D4">
        <w:rPr>
          <w:rFonts w:ascii="Times New Roman" w:hAnsi="Times New Roman" w:cs="Times New Roman"/>
          <w:sz w:val="28"/>
          <w:szCs w:val="28"/>
          <w:lang w:val="uk-UA"/>
        </w:rPr>
        <w:t>;</w:t>
      </w:r>
    </w:p>
    <w:p w:rsidR="00380273" w:rsidRDefault="00783163" w:rsidP="00561C16">
      <w:pPr>
        <w:pStyle w:val="a3"/>
        <w:spacing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грошові витрати суб’єктів господарювання</w:t>
      </w:r>
      <w:r w:rsidR="00514A10" w:rsidRPr="00F713D4">
        <w:rPr>
          <w:rFonts w:ascii="Times New Roman" w:hAnsi="Times New Roman" w:cs="Times New Roman"/>
          <w:sz w:val="28"/>
          <w:szCs w:val="28"/>
          <w:lang w:val="uk-UA"/>
        </w:rPr>
        <w:t>,</w:t>
      </w:r>
      <w:r>
        <w:rPr>
          <w:rFonts w:ascii="Times New Roman" w:hAnsi="Times New Roman" w:cs="Times New Roman"/>
          <w:sz w:val="28"/>
          <w:szCs w:val="28"/>
          <w:lang w:val="uk-UA"/>
        </w:rPr>
        <w:t xml:space="preserve"> що виникають на виконання вимог даного регулювання до опрацювання текстових та графічних матеріалів </w:t>
      </w:r>
      <w:r w:rsidR="00087CF1" w:rsidRPr="00F713D4">
        <w:rPr>
          <w:rFonts w:ascii="Times New Roman" w:hAnsi="Times New Roman" w:cs="Times New Roman"/>
          <w:sz w:val="28"/>
          <w:szCs w:val="28"/>
          <w:lang w:val="uk-UA"/>
        </w:rPr>
        <w:t xml:space="preserve">– </w:t>
      </w:r>
      <w:r w:rsidR="00D90CFE">
        <w:rPr>
          <w:rFonts w:ascii="Times New Roman" w:hAnsi="Times New Roman" w:cs="Times New Roman"/>
          <w:sz w:val="28"/>
          <w:szCs w:val="28"/>
          <w:lang w:val="uk-UA"/>
        </w:rPr>
        <w:t xml:space="preserve">є мінімальними, тому що всі вони входять до складу обов’язкової </w:t>
      </w:r>
      <w:r>
        <w:rPr>
          <w:rFonts w:ascii="Times New Roman" w:hAnsi="Times New Roman" w:cs="Times New Roman"/>
          <w:sz w:val="28"/>
          <w:szCs w:val="28"/>
          <w:lang w:val="uk-UA"/>
        </w:rPr>
        <w:t>документації, що опрацьовується у виробничих підрозділах і використовується для виробничого проектування та поточного управління процесами розвідки і розробки родовищ вуглеводнів відповідно до чинного законодавства</w:t>
      </w:r>
      <w:r w:rsidR="00213C4A" w:rsidRPr="00F713D4">
        <w:rPr>
          <w:rFonts w:ascii="Times New Roman" w:hAnsi="Times New Roman" w:cs="Times New Roman"/>
          <w:sz w:val="28"/>
          <w:szCs w:val="28"/>
          <w:lang w:val="uk-UA"/>
        </w:rPr>
        <w:t>;</w:t>
      </w:r>
    </w:p>
    <w:p w:rsidR="00087CF1" w:rsidRPr="00F713D4" w:rsidRDefault="00783163" w:rsidP="00561C16">
      <w:pPr>
        <w:pStyle w:val="a3"/>
        <w:spacing w:line="240" w:lineRule="auto"/>
        <w:ind w:left="0" w:firstLine="851"/>
        <w:jc w:val="both"/>
        <w:rPr>
          <w:rFonts w:ascii="Times New Roman" w:hAnsi="Times New Roman" w:cs="Times New Roman"/>
          <w:sz w:val="28"/>
          <w:szCs w:val="28"/>
          <w:lang w:val="uk-UA"/>
        </w:rPr>
      </w:pPr>
      <w:r>
        <w:rPr>
          <w:rFonts w:ascii="Times New Roman" w:hAnsi="Times New Roman" w:cs="Times New Roman"/>
          <w:sz w:val="28"/>
          <w:szCs w:val="28"/>
          <w:lang w:val="uk-UA"/>
        </w:rPr>
        <w:t>витрати часу суб’єктів господарювання що виникають для підготовки інформації стосовно даного регулювання з тих же причин – є також мінімальними, так як вся вона входить до складу обов’язкової інформації, що накопичується у виробничих підрозділах і використовується для виробничого проектування та поточного управління процесами розвідки і розробки родовищ вуглеводнів, і, як правило, не перевищує 3-4 місяців</w:t>
      </w:r>
      <w:r w:rsidR="006966BF" w:rsidRPr="00F713D4">
        <w:rPr>
          <w:rFonts w:ascii="Times New Roman" w:hAnsi="Times New Roman" w:cs="Times New Roman"/>
          <w:sz w:val="28"/>
          <w:szCs w:val="28"/>
          <w:lang w:val="uk-UA"/>
        </w:rPr>
        <w:t>;</w:t>
      </w:r>
    </w:p>
    <w:p w:rsidR="00087CF1" w:rsidRDefault="00087CF1" w:rsidP="00561C16">
      <w:pPr>
        <w:pStyle w:val="a3"/>
        <w:spacing w:after="0" w:line="240" w:lineRule="auto"/>
        <w:ind w:left="0" w:firstLine="851"/>
        <w:jc w:val="both"/>
        <w:rPr>
          <w:rFonts w:ascii="Times New Roman" w:hAnsi="Times New Roman" w:cs="Times New Roman"/>
          <w:sz w:val="28"/>
          <w:szCs w:val="28"/>
          <w:lang w:val="uk-UA"/>
        </w:rPr>
      </w:pPr>
      <w:r w:rsidRPr="00F713D4">
        <w:rPr>
          <w:rFonts w:ascii="Times New Roman" w:hAnsi="Times New Roman" w:cs="Times New Roman"/>
          <w:sz w:val="28"/>
          <w:szCs w:val="28"/>
          <w:lang w:val="uk-UA"/>
        </w:rPr>
        <w:t>р</w:t>
      </w:r>
      <w:r w:rsidRPr="00F713D4">
        <w:rPr>
          <w:rFonts w:ascii="Times New Roman" w:hAnsi="Times New Roman" w:cs="Times New Roman"/>
          <w:color w:val="000000"/>
          <w:sz w:val="28"/>
          <w:szCs w:val="28"/>
          <w:lang w:val="uk-UA"/>
        </w:rPr>
        <w:t>івень поінформованості суб'єктів господарювання з основних положень акта – високий, оскільки пр</w:t>
      </w:r>
      <w:r w:rsidR="00F14768">
        <w:rPr>
          <w:rFonts w:ascii="Times New Roman" w:hAnsi="Times New Roman" w:cs="Times New Roman"/>
          <w:color w:val="000000"/>
          <w:sz w:val="28"/>
          <w:szCs w:val="28"/>
          <w:lang w:val="uk-UA"/>
        </w:rPr>
        <w:t>оект акту розміщено на офіційному</w:t>
      </w:r>
      <w:r w:rsidRPr="00F713D4">
        <w:rPr>
          <w:rFonts w:ascii="Times New Roman" w:hAnsi="Times New Roman" w:cs="Times New Roman"/>
          <w:color w:val="000000"/>
          <w:sz w:val="28"/>
          <w:szCs w:val="28"/>
          <w:lang w:val="uk-UA"/>
        </w:rPr>
        <w:t xml:space="preserve"> </w:t>
      </w:r>
      <w:r w:rsidR="00F14768">
        <w:rPr>
          <w:rFonts w:ascii="Times New Roman" w:hAnsi="Times New Roman" w:cs="Times New Roman"/>
          <w:sz w:val="28"/>
          <w:szCs w:val="28"/>
          <w:lang w:val="uk-UA"/>
        </w:rPr>
        <w:t>веб-сайті</w:t>
      </w:r>
      <w:r w:rsidRPr="00F713D4">
        <w:rPr>
          <w:rFonts w:ascii="Times New Roman" w:hAnsi="Times New Roman" w:cs="Times New Roman"/>
          <w:sz w:val="28"/>
          <w:szCs w:val="28"/>
          <w:lang w:val="uk-UA"/>
        </w:rPr>
        <w:t xml:space="preserve"> Держгеонадр.</w:t>
      </w:r>
    </w:p>
    <w:p w:rsidR="00C15849" w:rsidRPr="008375B9" w:rsidRDefault="00C15849" w:rsidP="00242BE9">
      <w:pPr>
        <w:pStyle w:val="a3"/>
        <w:spacing w:after="0" w:line="240" w:lineRule="auto"/>
        <w:ind w:left="0" w:firstLine="709"/>
        <w:jc w:val="both"/>
        <w:rPr>
          <w:rFonts w:ascii="Times New Roman" w:hAnsi="Times New Roman" w:cs="Times New Roman"/>
          <w:lang w:val="uk-UA"/>
        </w:rPr>
      </w:pPr>
    </w:p>
    <w:p w:rsidR="00087CF1" w:rsidRDefault="00087CF1" w:rsidP="00561C16">
      <w:pPr>
        <w:pStyle w:val="HTML"/>
        <w:numPr>
          <w:ilvl w:val="0"/>
          <w:numId w:val="7"/>
        </w:numPr>
        <w:shd w:val="clear" w:color="auto" w:fill="FFFFFF"/>
        <w:jc w:val="center"/>
        <w:textAlignment w:val="baseline"/>
        <w:rPr>
          <w:rFonts w:ascii="Times New Roman" w:hAnsi="Times New Roman" w:cs="Times New Roman"/>
          <w:b/>
          <w:color w:val="000000"/>
          <w:sz w:val="28"/>
          <w:szCs w:val="28"/>
          <w:lang w:val="uk-UA"/>
        </w:rPr>
      </w:pPr>
      <w:r w:rsidRPr="00F713D4">
        <w:rPr>
          <w:rFonts w:ascii="Times New Roman" w:hAnsi="Times New Roman" w:cs="Times New Roman"/>
          <w:b/>
          <w:color w:val="000000"/>
          <w:sz w:val="28"/>
          <w:szCs w:val="28"/>
          <w:lang w:val="uk-UA"/>
        </w:rPr>
        <w:t>Визначення заходів, за допомогою яких здійснюватиметься відстеження резул</w:t>
      </w:r>
      <w:r w:rsidR="00380273">
        <w:rPr>
          <w:rFonts w:ascii="Times New Roman" w:hAnsi="Times New Roman" w:cs="Times New Roman"/>
          <w:b/>
          <w:color w:val="000000"/>
          <w:sz w:val="28"/>
          <w:szCs w:val="28"/>
          <w:lang w:val="uk-UA"/>
        </w:rPr>
        <w:t>ьтативності регуляторного акта.</w:t>
      </w:r>
    </w:p>
    <w:p w:rsidR="00087CF1" w:rsidRPr="00F713D4" w:rsidRDefault="00087CF1" w:rsidP="00242BE9">
      <w:pPr>
        <w:pStyle w:val="a3"/>
        <w:spacing w:line="240" w:lineRule="auto"/>
        <w:ind w:left="0" w:firstLine="709"/>
        <w:jc w:val="both"/>
        <w:rPr>
          <w:rFonts w:ascii="Times New Roman" w:hAnsi="Times New Roman" w:cs="Times New Roman"/>
          <w:sz w:val="28"/>
          <w:szCs w:val="28"/>
          <w:lang w:val="uk-UA"/>
        </w:rPr>
      </w:pPr>
      <w:r w:rsidRPr="00F713D4">
        <w:rPr>
          <w:rFonts w:ascii="Times New Roman" w:hAnsi="Times New Roman" w:cs="Times New Roman"/>
          <w:sz w:val="28"/>
          <w:szCs w:val="28"/>
          <w:lang w:val="uk-UA"/>
        </w:rPr>
        <w:t>Базове відстеження результативності вищезазначеного регуляторного акта буде здійснюватися Держгеонадрами до дати набрання чинності цим актом шляхом збору пропозицій і зауважень та їх аналізу.</w:t>
      </w:r>
    </w:p>
    <w:p w:rsidR="00087CF1" w:rsidRPr="00F713D4" w:rsidRDefault="00087CF1" w:rsidP="00242BE9">
      <w:pPr>
        <w:pStyle w:val="a3"/>
        <w:spacing w:line="240" w:lineRule="auto"/>
        <w:ind w:left="0" w:firstLine="709"/>
        <w:jc w:val="both"/>
        <w:rPr>
          <w:rFonts w:ascii="Times New Roman" w:hAnsi="Times New Roman" w:cs="Times New Roman"/>
          <w:sz w:val="28"/>
          <w:szCs w:val="28"/>
          <w:lang w:val="uk-UA"/>
        </w:rPr>
      </w:pPr>
      <w:r w:rsidRPr="00F713D4">
        <w:rPr>
          <w:rFonts w:ascii="Times New Roman" w:hAnsi="Times New Roman" w:cs="Times New Roman"/>
          <w:sz w:val="28"/>
          <w:szCs w:val="28"/>
          <w:lang w:val="uk-UA"/>
        </w:rPr>
        <w:t>Повторне відстеження планується здійснити через рік після набрання чинності регуляторного акту,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якісних показників дії цього акта, ці питання будуть врегульовані шляхом внесення відповідних змін.</w:t>
      </w:r>
    </w:p>
    <w:p w:rsidR="00087CF1" w:rsidRPr="00F713D4" w:rsidRDefault="00380273" w:rsidP="00242BE9">
      <w:pPr>
        <w:pStyle w:val="a3"/>
        <w:spacing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Періодичне відстеження </w:t>
      </w:r>
      <w:r w:rsidR="00087CF1" w:rsidRPr="00F713D4">
        <w:rPr>
          <w:rFonts w:ascii="Times New Roman" w:hAnsi="Times New Roman" w:cs="Times New Roman"/>
          <w:sz w:val="28"/>
          <w:szCs w:val="28"/>
          <w:lang w:val="uk-UA"/>
        </w:rPr>
        <w:t>здійснюється раз на три роки, починаючи з дня виконання заходів з повторного відстеження , в тому числі у разі, коли дію акта, прийнятого на ви</w:t>
      </w:r>
      <w:r>
        <w:rPr>
          <w:rFonts w:ascii="Times New Roman" w:hAnsi="Times New Roman" w:cs="Times New Roman"/>
          <w:sz w:val="28"/>
          <w:szCs w:val="28"/>
          <w:lang w:val="uk-UA"/>
        </w:rPr>
        <w:t>значений строк, було продовжено</w:t>
      </w:r>
      <w:r w:rsidR="00087CF1" w:rsidRPr="00F713D4">
        <w:rPr>
          <w:rFonts w:ascii="Times New Roman" w:hAnsi="Times New Roman" w:cs="Times New Roman"/>
          <w:sz w:val="28"/>
          <w:szCs w:val="28"/>
          <w:lang w:val="uk-UA"/>
        </w:rPr>
        <w:t xml:space="preserve"> з метою оцінки ступеня досягнення актом визначених цілей. Установлені кількісні та якісні значення показників результативності акта порівнюються зі значеннями аналогічних показників, що встановлені під час повторного відстеження.</w:t>
      </w:r>
    </w:p>
    <w:p w:rsidR="000E50F3" w:rsidRPr="000E50F3" w:rsidRDefault="00087CF1" w:rsidP="000E50F3">
      <w:pPr>
        <w:pStyle w:val="a3"/>
        <w:spacing w:line="240" w:lineRule="auto"/>
        <w:ind w:left="0" w:firstLine="709"/>
        <w:jc w:val="both"/>
        <w:rPr>
          <w:rFonts w:ascii="Times New Roman" w:hAnsi="Times New Roman" w:cs="Times New Roman"/>
          <w:sz w:val="28"/>
          <w:szCs w:val="28"/>
        </w:rPr>
      </w:pPr>
      <w:r w:rsidRPr="00F713D4">
        <w:rPr>
          <w:rFonts w:ascii="Times New Roman" w:hAnsi="Times New Roman" w:cs="Times New Roman"/>
          <w:sz w:val="28"/>
          <w:szCs w:val="28"/>
          <w:lang w:val="uk-UA"/>
        </w:rPr>
        <w:t>Відстеження результативності вищезазначеного регуляторного акта проводитиметься шляхом розгляду пропози</w:t>
      </w:r>
      <w:r w:rsidR="00380273">
        <w:rPr>
          <w:rFonts w:ascii="Times New Roman" w:hAnsi="Times New Roman" w:cs="Times New Roman"/>
          <w:sz w:val="28"/>
          <w:szCs w:val="28"/>
          <w:lang w:val="uk-UA"/>
        </w:rPr>
        <w:t xml:space="preserve">цій та зауважень від суб’єктів </w:t>
      </w:r>
      <w:r w:rsidRPr="00F713D4">
        <w:rPr>
          <w:rFonts w:ascii="Times New Roman" w:hAnsi="Times New Roman" w:cs="Times New Roman"/>
          <w:sz w:val="28"/>
          <w:szCs w:val="28"/>
          <w:lang w:val="uk-UA"/>
        </w:rPr>
        <w:t>господарюван</w:t>
      </w:r>
      <w:r w:rsidR="000E50F3">
        <w:rPr>
          <w:rFonts w:ascii="Times New Roman" w:hAnsi="Times New Roman" w:cs="Times New Roman"/>
          <w:sz w:val="28"/>
          <w:szCs w:val="28"/>
          <w:lang w:val="uk-UA"/>
        </w:rPr>
        <w:t>ня, які надійшли до Держгеонадр</w:t>
      </w:r>
      <w:r w:rsidR="000E50F3" w:rsidRPr="000E50F3">
        <w:rPr>
          <w:rFonts w:ascii="Times New Roman" w:hAnsi="Times New Roman" w:cs="Times New Roman"/>
          <w:sz w:val="28"/>
          <w:szCs w:val="28"/>
        </w:rPr>
        <w:t>:</w:t>
      </w:r>
    </w:p>
    <w:p w:rsidR="000E50F3" w:rsidRPr="000E50F3" w:rsidRDefault="000E50F3" w:rsidP="000E50F3">
      <w:pPr>
        <w:pStyle w:val="a3"/>
        <w:spacing w:line="240" w:lineRule="auto"/>
        <w:ind w:left="0" w:firstLine="709"/>
        <w:jc w:val="both"/>
        <w:rPr>
          <w:rFonts w:ascii="Times New Roman" w:eastAsia="Times New Roman" w:hAnsi="Times New Roman" w:cs="Times New Roman"/>
          <w:color w:val="000000"/>
          <w:sz w:val="28"/>
          <w:szCs w:val="28"/>
          <w:lang w:eastAsia="ru-RU"/>
        </w:rPr>
      </w:pPr>
      <w:r w:rsidRPr="000E50F3">
        <w:rPr>
          <w:rFonts w:ascii="Times New Roman" w:eastAsia="Times New Roman" w:hAnsi="Times New Roman" w:cs="Times New Roman"/>
          <w:color w:val="000000"/>
          <w:sz w:val="28"/>
          <w:szCs w:val="28"/>
          <w:lang w:val="uk-UA" w:eastAsia="ru-RU"/>
        </w:rPr>
        <w:t>вид даних – статистичний</w:t>
      </w:r>
      <w:r w:rsidRPr="000E50F3">
        <w:rPr>
          <w:rFonts w:ascii="Times New Roman" w:eastAsia="Times New Roman" w:hAnsi="Times New Roman" w:cs="Times New Roman"/>
          <w:color w:val="000000"/>
          <w:sz w:val="28"/>
          <w:szCs w:val="28"/>
          <w:lang w:eastAsia="ru-RU"/>
        </w:rPr>
        <w:t>;</w:t>
      </w:r>
    </w:p>
    <w:p w:rsidR="00722495" w:rsidRPr="000E50F3" w:rsidRDefault="000E50F3" w:rsidP="000E50F3">
      <w:pPr>
        <w:pStyle w:val="a3"/>
        <w:spacing w:line="240" w:lineRule="auto"/>
        <w:ind w:left="0" w:firstLine="709"/>
        <w:jc w:val="both"/>
        <w:rPr>
          <w:rFonts w:ascii="Times New Roman" w:hAnsi="Times New Roman" w:cs="Times New Roman"/>
          <w:sz w:val="28"/>
          <w:szCs w:val="28"/>
        </w:rPr>
      </w:pPr>
      <w:r w:rsidRPr="000E50F3">
        <w:rPr>
          <w:rFonts w:ascii="Times New Roman" w:eastAsia="Times New Roman" w:hAnsi="Times New Roman" w:cs="Times New Roman"/>
          <w:color w:val="000000"/>
          <w:sz w:val="28"/>
          <w:szCs w:val="28"/>
          <w:lang w:val="uk-UA" w:eastAsia="ru-RU"/>
        </w:rPr>
        <w:t>цільові групи – надрокористувачі</w:t>
      </w:r>
      <w:r w:rsidRPr="000E50F3">
        <w:rPr>
          <w:rFonts w:ascii="Times New Roman" w:eastAsia="Times New Roman" w:hAnsi="Times New Roman" w:cs="Times New Roman"/>
          <w:color w:val="000000"/>
          <w:sz w:val="28"/>
          <w:szCs w:val="28"/>
          <w:lang w:eastAsia="ru-RU"/>
        </w:rPr>
        <w:t>.</w:t>
      </w:r>
    </w:p>
    <w:p w:rsidR="00F55D24" w:rsidRDefault="00F55D24" w:rsidP="00242BE9">
      <w:pPr>
        <w:pStyle w:val="a3"/>
        <w:spacing w:line="240" w:lineRule="auto"/>
        <w:ind w:left="0" w:firstLine="426"/>
        <w:jc w:val="both"/>
        <w:rPr>
          <w:rFonts w:ascii="Times New Roman" w:hAnsi="Times New Roman" w:cs="Times New Roman"/>
          <w:sz w:val="28"/>
          <w:szCs w:val="28"/>
          <w:lang w:val="uk-UA"/>
        </w:rPr>
      </w:pPr>
    </w:p>
    <w:p w:rsidR="008375B9" w:rsidRPr="00F713D4" w:rsidRDefault="008375B9" w:rsidP="00242BE9">
      <w:pPr>
        <w:pStyle w:val="a3"/>
        <w:spacing w:line="240" w:lineRule="auto"/>
        <w:ind w:left="0" w:firstLine="426"/>
        <w:jc w:val="both"/>
        <w:rPr>
          <w:rFonts w:ascii="Times New Roman" w:hAnsi="Times New Roman" w:cs="Times New Roman"/>
          <w:sz w:val="28"/>
          <w:szCs w:val="28"/>
          <w:lang w:val="uk-UA"/>
        </w:rPr>
      </w:pPr>
    </w:p>
    <w:tbl>
      <w:tblPr>
        <w:tblStyle w:val="af1"/>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938AC" w:rsidRPr="00B938AC" w:rsidTr="000E2D38">
        <w:tc>
          <w:tcPr>
            <w:tcW w:w="4785" w:type="dxa"/>
          </w:tcPr>
          <w:p w:rsidR="00B938AC" w:rsidRPr="00B938AC" w:rsidRDefault="00B938AC" w:rsidP="00B938AC">
            <w:pPr>
              <w:spacing w:after="0" w:line="240" w:lineRule="auto"/>
              <w:ind w:left="-128"/>
              <w:jc w:val="both"/>
              <w:rPr>
                <w:rFonts w:ascii="Times New Roman" w:hAnsi="Times New Roman" w:cs="Times New Roman"/>
                <w:b/>
                <w:bCs/>
                <w:sz w:val="28"/>
                <w:szCs w:val="28"/>
                <w:lang w:val="uk-UA"/>
              </w:rPr>
            </w:pPr>
            <w:r w:rsidRPr="00B938AC">
              <w:rPr>
                <w:rFonts w:ascii="Times New Roman" w:hAnsi="Times New Roman" w:cs="Times New Roman"/>
                <w:b/>
                <w:bCs/>
                <w:sz w:val="28"/>
                <w:szCs w:val="28"/>
                <w:lang w:val="uk-UA"/>
              </w:rPr>
              <w:t xml:space="preserve">Т.в.о. Голови Державної служби </w:t>
            </w:r>
          </w:p>
          <w:p w:rsidR="00B938AC" w:rsidRPr="00B938AC" w:rsidRDefault="00B938AC" w:rsidP="00B938AC">
            <w:pPr>
              <w:spacing w:after="0" w:line="240" w:lineRule="auto"/>
              <w:ind w:left="-128"/>
              <w:jc w:val="both"/>
              <w:rPr>
                <w:rFonts w:ascii="Times New Roman" w:hAnsi="Times New Roman" w:cs="Times New Roman"/>
                <w:b/>
                <w:bCs/>
                <w:sz w:val="28"/>
                <w:szCs w:val="28"/>
                <w:lang w:val="uk-UA"/>
              </w:rPr>
            </w:pPr>
            <w:r w:rsidRPr="00B938AC">
              <w:rPr>
                <w:rFonts w:ascii="Times New Roman" w:hAnsi="Times New Roman" w:cs="Times New Roman"/>
                <w:b/>
                <w:bCs/>
                <w:sz w:val="28"/>
                <w:szCs w:val="28"/>
                <w:lang w:val="uk-UA"/>
              </w:rPr>
              <w:t>геології та надр України</w:t>
            </w:r>
          </w:p>
        </w:tc>
        <w:tc>
          <w:tcPr>
            <w:tcW w:w="4786" w:type="dxa"/>
          </w:tcPr>
          <w:p w:rsidR="00B938AC" w:rsidRPr="00B938AC" w:rsidRDefault="00B938AC" w:rsidP="00B938AC">
            <w:pPr>
              <w:spacing w:after="0" w:line="240" w:lineRule="auto"/>
              <w:jc w:val="both"/>
              <w:rPr>
                <w:rFonts w:ascii="Times New Roman" w:hAnsi="Times New Roman" w:cs="Times New Roman"/>
                <w:b/>
                <w:bCs/>
                <w:sz w:val="28"/>
                <w:szCs w:val="28"/>
                <w:lang w:val="uk-UA"/>
              </w:rPr>
            </w:pPr>
          </w:p>
          <w:p w:rsidR="00B938AC" w:rsidRPr="00B938AC" w:rsidRDefault="00B938AC" w:rsidP="001A2066">
            <w:pPr>
              <w:spacing w:after="0" w:line="240" w:lineRule="auto"/>
              <w:jc w:val="both"/>
              <w:rPr>
                <w:rFonts w:ascii="Times New Roman" w:hAnsi="Times New Roman" w:cs="Times New Roman"/>
                <w:b/>
                <w:bCs/>
                <w:sz w:val="28"/>
                <w:szCs w:val="28"/>
                <w:lang w:val="uk-UA"/>
              </w:rPr>
            </w:pPr>
            <w:r w:rsidRPr="00B938AC">
              <w:rPr>
                <w:rFonts w:ascii="Times New Roman" w:hAnsi="Times New Roman" w:cs="Times New Roman"/>
                <w:b/>
                <w:bCs/>
                <w:sz w:val="28"/>
                <w:szCs w:val="28"/>
                <w:lang w:val="uk-UA"/>
              </w:rPr>
              <w:t xml:space="preserve">                                       </w:t>
            </w:r>
            <w:r w:rsidR="001A2066">
              <w:rPr>
                <w:rFonts w:ascii="Times New Roman" w:hAnsi="Times New Roman" w:cs="Times New Roman"/>
                <w:b/>
                <w:bCs/>
                <w:sz w:val="28"/>
                <w:szCs w:val="28"/>
                <w:lang w:val="uk-UA"/>
              </w:rPr>
              <w:t>О.В. Кирилюк</w:t>
            </w:r>
          </w:p>
        </w:tc>
      </w:tr>
      <w:tr w:rsidR="00B938AC" w:rsidRPr="00B938AC" w:rsidTr="000E2D38">
        <w:tc>
          <w:tcPr>
            <w:tcW w:w="4785" w:type="dxa"/>
          </w:tcPr>
          <w:p w:rsidR="00B938AC" w:rsidRPr="00B938AC" w:rsidRDefault="00B938AC" w:rsidP="00B938AC">
            <w:pPr>
              <w:spacing w:after="0" w:line="240" w:lineRule="auto"/>
              <w:jc w:val="both"/>
              <w:rPr>
                <w:rFonts w:ascii="Times New Roman" w:hAnsi="Times New Roman" w:cs="Times New Roman"/>
                <w:b/>
                <w:bCs/>
                <w:sz w:val="28"/>
                <w:szCs w:val="28"/>
                <w:lang w:val="uk-UA"/>
              </w:rPr>
            </w:pPr>
          </w:p>
        </w:tc>
        <w:tc>
          <w:tcPr>
            <w:tcW w:w="4786" w:type="dxa"/>
          </w:tcPr>
          <w:p w:rsidR="00B938AC" w:rsidRPr="00B938AC" w:rsidRDefault="00B938AC" w:rsidP="00B938AC">
            <w:pPr>
              <w:spacing w:after="0" w:line="240" w:lineRule="auto"/>
              <w:jc w:val="both"/>
              <w:rPr>
                <w:rFonts w:ascii="Times New Roman" w:hAnsi="Times New Roman" w:cs="Times New Roman"/>
                <w:b/>
                <w:bCs/>
                <w:sz w:val="28"/>
                <w:szCs w:val="28"/>
                <w:lang w:val="uk-UA"/>
              </w:rPr>
            </w:pPr>
          </w:p>
        </w:tc>
      </w:tr>
    </w:tbl>
    <w:p w:rsidR="0054272F" w:rsidRPr="0054272F" w:rsidRDefault="0054272F" w:rsidP="00DA3CD9">
      <w:pPr>
        <w:spacing w:after="0" w:line="240" w:lineRule="auto"/>
        <w:ind w:left="142"/>
        <w:jc w:val="both"/>
        <w:rPr>
          <w:rFonts w:ascii="Times New Roman" w:hAnsi="Times New Roman" w:cs="Times New Roman"/>
          <w:b/>
          <w:sz w:val="28"/>
          <w:szCs w:val="28"/>
          <w:lang w:val="uk-UA"/>
        </w:rPr>
      </w:pPr>
      <w:r w:rsidRPr="0054272F">
        <w:rPr>
          <w:rFonts w:ascii="Times New Roman" w:hAnsi="Times New Roman" w:cs="Times New Roman"/>
          <w:b/>
          <w:sz w:val="28"/>
          <w:szCs w:val="28"/>
          <w:lang w:val="uk-UA"/>
        </w:rPr>
        <w:t xml:space="preserve">    </w:t>
      </w:r>
    </w:p>
    <w:p w:rsidR="0054272F" w:rsidRPr="0054272F" w:rsidRDefault="00AC0D6B" w:rsidP="00242BE9">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________________ 2017</w:t>
      </w:r>
      <w:r w:rsidR="0054272F" w:rsidRPr="0054272F">
        <w:rPr>
          <w:rFonts w:ascii="Times New Roman" w:hAnsi="Times New Roman" w:cs="Times New Roman"/>
          <w:sz w:val="28"/>
          <w:szCs w:val="28"/>
          <w:lang w:val="uk-UA"/>
        </w:rPr>
        <w:t xml:space="preserve"> року </w:t>
      </w:r>
    </w:p>
    <w:sectPr w:rsidR="0054272F" w:rsidRPr="0054272F" w:rsidSect="00E92C7D">
      <w:pgSz w:w="11906" w:h="16838"/>
      <w:pgMar w:top="1247" w:right="794" w:bottom="1247"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BA3" w:rsidRDefault="00924BA3" w:rsidP="007E2463">
      <w:pPr>
        <w:spacing w:after="0" w:line="240" w:lineRule="auto"/>
      </w:pPr>
      <w:r>
        <w:separator/>
      </w:r>
    </w:p>
  </w:endnote>
  <w:endnote w:type="continuationSeparator" w:id="0">
    <w:p w:rsidR="00924BA3" w:rsidRDefault="00924BA3" w:rsidP="007E2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BA3" w:rsidRDefault="00924BA3" w:rsidP="007E2463">
      <w:pPr>
        <w:spacing w:after="0" w:line="240" w:lineRule="auto"/>
      </w:pPr>
      <w:r>
        <w:separator/>
      </w:r>
    </w:p>
  </w:footnote>
  <w:footnote w:type="continuationSeparator" w:id="0">
    <w:p w:rsidR="00924BA3" w:rsidRDefault="00924BA3" w:rsidP="007E2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15A"/>
    <w:multiLevelType w:val="hybridMultilevel"/>
    <w:tmpl w:val="D1262BB8"/>
    <w:lvl w:ilvl="0" w:tplc="EE56006E">
      <w:numFmt w:val="bullet"/>
      <w:lvlText w:val="-"/>
      <w:lvlJc w:val="left"/>
      <w:pPr>
        <w:ind w:left="786" w:hanging="360"/>
      </w:pPr>
      <w:rPr>
        <w:rFonts w:ascii="Times New Roman" w:eastAsiaTheme="minorHAns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0EAB67C6"/>
    <w:multiLevelType w:val="hybridMultilevel"/>
    <w:tmpl w:val="D32858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357CA"/>
    <w:multiLevelType w:val="hybridMultilevel"/>
    <w:tmpl w:val="46DCF0BC"/>
    <w:lvl w:ilvl="0" w:tplc="296C94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04C35CC"/>
    <w:multiLevelType w:val="hybridMultilevel"/>
    <w:tmpl w:val="BE24E208"/>
    <w:lvl w:ilvl="0" w:tplc="008A2B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C82BA8"/>
    <w:multiLevelType w:val="hybridMultilevel"/>
    <w:tmpl w:val="ABA2FC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96333E"/>
    <w:multiLevelType w:val="hybridMultilevel"/>
    <w:tmpl w:val="613CD810"/>
    <w:lvl w:ilvl="0" w:tplc="B90A300A">
      <w:start w:val="8"/>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35B0333"/>
    <w:multiLevelType w:val="hybridMultilevel"/>
    <w:tmpl w:val="BD5862BE"/>
    <w:lvl w:ilvl="0" w:tplc="89121C8C">
      <w:start w:val="1"/>
      <w:numFmt w:val="upperRoman"/>
      <w:lvlText w:val="%1."/>
      <w:lvlJc w:val="righ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DD8"/>
    <w:rsid w:val="00014258"/>
    <w:rsid w:val="00017F77"/>
    <w:rsid w:val="000509E2"/>
    <w:rsid w:val="00055242"/>
    <w:rsid w:val="00057156"/>
    <w:rsid w:val="00061E3B"/>
    <w:rsid w:val="0006225D"/>
    <w:rsid w:val="000752EC"/>
    <w:rsid w:val="00077C17"/>
    <w:rsid w:val="00087CF1"/>
    <w:rsid w:val="0009132C"/>
    <w:rsid w:val="000A75CD"/>
    <w:rsid w:val="000B17D5"/>
    <w:rsid w:val="000B2516"/>
    <w:rsid w:val="000E18A7"/>
    <w:rsid w:val="000E50F3"/>
    <w:rsid w:val="000E62FF"/>
    <w:rsid w:val="00104F8A"/>
    <w:rsid w:val="00136AEE"/>
    <w:rsid w:val="001A2066"/>
    <w:rsid w:val="001B5C51"/>
    <w:rsid w:val="001E16D7"/>
    <w:rsid w:val="001E430D"/>
    <w:rsid w:val="002008CC"/>
    <w:rsid w:val="00213C4A"/>
    <w:rsid w:val="0022001C"/>
    <w:rsid w:val="002231E1"/>
    <w:rsid w:val="00240C68"/>
    <w:rsid w:val="00242BE9"/>
    <w:rsid w:val="00277C22"/>
    <w:rsid w:val="002B56DE"/>
    <w:rsid w:val="002D5B47"/>
    <w:rsid w:val="002D5E7D"/>
    <w:rsid w:val="002F63FA"/>
    <w:rsid w:val="00323E98"/>
    <w:rsid w:val="0035150D"/>
    <w:rsid w:val="00361D6A"/>
    <w:rsid w:val="00380273"/>
    <w:rsid w:val="003C7A85"/>
    <w:rsid w:val="003D413A"/>
    <w:rsid w:val="003D5997"/>
    <w:rsid w:val="003D7169"/>
    <w:rsid w:val="003E78BC"/>
    <w:rsid w:val="003F72CD"/>
    <w:rsid w:val="00416615"/>
    <w:rsid w:val="004361C2"/>
    <w:rsid w:val="00446F42"/>
    <w:rsid w:val="00452D24"/>
    <w:rsid w:val="004552C3"/>
    <w:rsid w:val="00465908"/>
    <w:rsid w:val="004A2099"/>
    <w:rsid w:val="004E13B0"/>
    <w:rsid w:val="00514A10"/>
    <w:rsid w:val="005225AA"/>
    <w:rsid w:val="005415DD"/>
    <w:rsid w:val="0054272F"/>
    <w:rsid w:val="00550117"/>
    <w:rsid w:val="00561C16"/>
    <w:rsid w:val="00584AD7"/>
    <w:rsid w:val="005C380A"/>
    <w:rsid w:val="005C6669"/>
    <w:rsid w:val="00612238"/>
    <w:rsid w:val="00630BC4"/>
    <w:rsid w:val="00643860"/>
    <w:rsid w:val="006441CC"/>
    <w:rsid w:val="006532B8"/>
    <w:rsid w:val="006633F3"/>
    <w:rsid w:val="006703D3"/>
    <w:rsid w:val="006732E8"/>
    <w:rsid w:val="006952F0"/>
    <w:rsid w:val="006966BF"/>
    <w:rsid w:val="006B1DAD"/>
    <w:rsid w:val="006B27EE"/>
    <w:rsid w:val="006C46F3"/>
    <w:rsid w:val="006D5284"/>
    <w:rsid w:val="006E0863"/>
    <w:rsid w:val="006F7BD3"/>
    <w:rsid w:val="00713D25"/>
    <w:rsid w:val="00722495"/>
    <w:rsid w:val="00730BB2"/>
    <w:rsid w:val="0073573B"/>
    <w:rsid w:val="0074633A"/>
    <w:rsid w:val="00783163"/>
    <w:rsid w:val="007967C4"/>
    <w:rsid w:val="007D03E7"/>
    <w:rsid w:val="007E2463"/>
    <w:rsid w:val="007E6DFA"/>
    <w:rsid w:val="007F2307"/>
    <w:rsid w:val="008002D7"/>
    <w:rsid w:val="008375B9"/>
    <w:rsid w:val="00846957"/>
    <w:rsid w:val="00861925"/>
    <w:rsid w:val="00874DD8"/>
    <w:rsid w:val="00892B6E"/>
    <w:rsid w:val="008A492D"/>
    <w:rsid w:val="008B34A5"/>
    <w:rsid w:val="008B7F52"/>
    <w:rsid w:val="008F0B76"/>
    <w:rsid w:val="009129C7"/>
    <w:rsid w:val="0091719A"/>
    <w:rsid w:val="00924BA3"/>
    <w:rsid w:val="00935669"/>
    <w:rsid w:val="0095042D"/>
    <w:rsid w:val="00950FDE"/>
    <w:rsid w:val="009628C2"/>
    <w:rsid w:val="0097255C"/>
    <w:rsid w:val="0097467B"/>
    <w:rsid w:val="00991DDE"/>
    <w:rsid w:val="0099668F"/>
    <w:rsid w:val="009A44FE"/>
    <w:rsid w:val="009D533F"/>
    <w:rsid w:val="009E6080"/>
    <w:rsid w:val="00A068C7"/>
    <w:rsid w:val="00A20512"/>
    <w:rsid w:val="00A2237E"/>
    <w:rsid w:val="00A22C21"/>
    <w:rsid w:val="00A415F8"/>
    <w:rsid w:val="00A42709"/>
    <w:rsid w:val="00A429E4"/>
    <w:rsid w:val="00A66878"/>
    <w:rsid w:val="00A76A50"/>
    <w:rsid w:val="00A9753F"/>
    <w:rsid w:val="00AA0F83"/>
    <w:rsid w:val="00AA1A61"/>
    <w:rsid w:val="00AC0D6B"/>
    <w:rsid w:val="00B05566"/>
    <w:rsid w:val="00B1429E"/>
    <w:rsid w:val="00B226F5"/>
    <w:rsid w:val="00B368D4"/>
    <w:rsid w:val="00B37EF5"/>
    <w:rsid w:val="00B75B71"/>
    <w:rsid w:val="00B938AC"/>
    <w:rsid w:val="00BC3239"/>
    <w:rsid w:val="00BF2D2B"/>
    <w:rsid w:val="00C15849"/>
    <w:rsid w:val="00C328A3"/>
    <w:rsid w:val="00CB1CF9"/>
    <w:rsid w:val="00CB5F2C"/>
    <w:rsid w:val="00CB6BD5"/>
    <w:rsid w:val="00CD358F"/>
    <w:rsid w:val="00CF3BD0"/>
    <w:rsid w:val="00D20C90"/>
    <w:rsid w:val="00D229A3"/>
    <w:rsid w:val="00D250B0"/>
    <w:rsid w:val="00D44554"/>
    <w:rsid w:val="00D51116"/>
    <w:rsid w:val="00D51BAB"/>
    <w:rsid w:val="00D87477"/>
    <w:rsid w:val="00D90CFE"/>
    <w:rsid w:val="00D96597"/>
    <w:rsid w:val="00DA3CD9"/>
    <w:rsid w:val="00DC3789"/>
    <w:rsid w:val="00DD2D57"/>
    <w:rsid w:val="00DD62CA"/>
    <w:rsid w:val="00E00BEA"/>
    <w:rsid w:val="00E14EFA"/>
    <w:rsid w:val="00E32116"/>
    <w:rsid w:val="00E509A3"/>
    <w:rsid w:val="00E8638C"/>
    <w:rsid w:val="00E92C7D"/>
    <w:rsid w:val="00EB4F09"/>
    <w:rsid w:val="00EC7020"/>
    <w:rsid w:val="00EF29DB"/>
    <w:rsid w:val="00F14768"/>
    <w:rsid w:val="00F218CE"/>
    <w:rsid w:val="00F25AFC"/>
    <w:rsid w:val="00F34C06"/>
    <w:rsid w:val="00F55D24"/>
    <w:rsid w:val="00F673CC"/>
    <w:rsid w:val="00F713D4"/>
    <w:rsid w:val="00F75DDA"/>
    <w:rsid w:val="00F87BF7"/>
    <w:rsid w:val="00F96A8F"/>
    <w:rsid w:val="00FA2280"/>
    <w:rsid w:val="00FA7172"/>
    <w:rsid w:val="00FB5E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E2EF291-D140-4798-98C3-AE629CD7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878"/>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6597"/>
    <w:pPr>
      <w:ind w:left="720"/>
      <w:contextualSpacing/>
    </w:pPr>
  </w:style>
  <w:style w:type="paragraph" w:styleId="HTML">
    <w:name w:val="HTML Preformatted"/>
    <w:basedOn w:val="a"/>
    <w:link w:val="HTML0"/>
    <w:uiPriority w:val="99"/>
    <w:semiHidden/>
    <w:unhideWhenUsed/>
    <w:rsid w:val="00D96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97"/>
    <w:rPr>
      <w:rFonts w:ascii="Courier New" w:eastAsia="Times New Roman" w:hAnsi="Courier New" w:cs="Courier New"/>
      <w:sz w:val="20"/>
      <w:szCs w:val="20"/>
      <w:lang w:val="ru-RU" w:eastAsia="ru-RU"/>
    </w:rPr>
  </w:style>
  <w:style w:type="paragraph" w:styleId="a4">
    <w:name w:val="Subtitle"/>
    <w:basedOn w:val="a"/>
    <w:next w:val="a"/>
    <w:link w:val="a5"/>
    <w:uiPriority w:val="11"/>
    <w:qFormat/>
    <w:rsid w:val="00D96597"/>
    <w:pPr>
      <w:numPr>
        <w:ilvl w:val="1"/>
      </w:numPr>
      <w:spacing w:after="160"/>
    </w:pPr>
    <w:rPr>
      <w:rFonts w:eastAsiaTheme="minorEastAsia"/>
      <w:color w:val="5A5A5A" w:themeColor="text1" w:themeTint="A5"/>
      <w:spacing w:val="15"/>
    </w:rPr>
  </w:style>
  <w:style w:type="character" w:customStyle="1" w:styleId="a5">
    <w:name w:val="Подзаголовок Знак"/>
    <w:basedOn w:val="a0"/>
    <w:link w:val="a4"/>
    <w:uiPriority w:val="11"/>
    <w:rsid w:val="00D96597"/>
    <w:rPr>
      <w:rFonts w:eastAsiaTheme="minorEastAsia"/>
      <w:color w:val="5A5A5A" w:themeColor="text1" w:themeTint="A5"/>
      <w:spacing w:val="15"/>
      <w:lang w:val="ru-RU"/>
    </w:rPr>
  </w:style>
  <w:style w:type="paragraph" w:styleId="a6">
    <w:name w:val="Balloon Text"/>
    <w:basedOn w:val="a"/>
    <w:link w:val="a7"/>
    <w:uiPriority w:val="99"/>
    <w:semiHidden/>
    <w:unhideWhenUsed/>
    <w:rsid w:val="0005524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5242"/>
    <w:rPr>
      <w:rFonts w:ascii="Segoe UI" w:hAnsi="Segoe UI" w:cs="Segoe UI"/>
      <w:sz w:val="18"/>
      <w:szCs w:val="18"/>
      <w:lang w:val="ru-RU"/>
    </w:rPr>
  </w:style>
  <w:style w:type="character" w:styleId="a8">
    <w:name w:val="annotation reference"/>
    <w:basedOn w:val="a0"/>
    <w:uiPriority w:val="99"/>
    <w:semiHidden/>
    <w:unhideWhenUsed/>
    <w:rsid w:val="003D413A"/>
    <w:rPr>
      <w:sz w:val="16"/>
      <w:szCs w:val="16"/>
    </w:rPr>
  </w:style>
  <w:style w:type="paragraph" w:styleId="a9">
    <w:name w:val="annotation text"/>
    <w:basedOn w:val="a"/>
    <w:link w:val="aa"/>
    <w:uiPriority w:val="99"/>
    <w:semiHidden/>
    <w:unhideWhenUsed/>
    <w:rsid w:val="003D413A"/>
    <w:pPr>
      <w:spacing w:line="240" w:lineRule="auto"/>
    </w:pPr>
    <w:rPr>
      <w:sz w:val="20"/>
      <w:szCs w:val="20"/>
    </w:rPr>
  </w:style>
  <w:style w:type="character" w:customStyle="1" w:styleId="aa">
    <w:name w:val="Текст примечания Знак"/>
    <w:basedOn w:val="a0"/>
    <w:link w:val="a9"/>
    <w:uiPriority w:val="99"/>
    <w:semiHidden/>
    <w:rsid w:val="003D413A"/>
    <w:rPr>
      <w:sz w:val="20"/>
      <w:szCs w:val="20"/>
      <w:lang w:val="ru-RU"/>
    </w:rPr>
  </w:style>
  <w:style w:type="paragraph" w:styleId="ab">
    <w:name w:val="annotation subject"/>
    <w:basedOn w:val="a9"/>
    <w:next w:val="a9"/>
    <w:link w:val="ac"/>
    <w:uiPriority w:val="99"/>
    <w:semiHidden/>
    <w:unhideWhenUsed/>
    <w:rsid w:val="003D413A"/>
    <w:rPr>
      <w:b/>
      <w:bCs/>
    </w:rPr>
  </w:style>
  <w:style w:type="character" w:customStyle="1" w:styleId="ac">
    <w:name w:val="Тема примечания Знак"/>
    <w:basedOn w:val="aa"/>
    <w:link w:val="ab"/>
    <w:uiPriority w:val="99"/>
    <w:semiHidden/>
    <w:rsid w:val="003D413A"/>
    <w:rPr>
      <w:b/>
      <w:bCs/>
      <w:sz w:val="20"/>
      <w:szCs w:val="20"/>
      <w:lang w:val="ru-RU"/>
    </w:rPr>
  </w:style>
  <w:style w:type="paragraph" w:styleId="ad">
    <w:name w:val="header"/>
    <w:basedOn w:val="a"/>
    <w:link w:val="ae"/>
    <w:uiPriority w:val="99"/>
    <w:unhideWhenUsed/>
    <w:rsid w:val="007E2463"/>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7E2463"/>
    <w:rPr>
      <w:lang w:val="ru-RU"/>
    </w:rPr>
  </w:style>
  <w:style w:type="paragraph" w:styleId="af">
    <w:name w:val="footer"/>
    <w:basedOn w:val="a"/>
    <w:link w:val="af0"/>
    <w:uiPriority w:val="99"/>
    <w:unhideWhenUsed/>
    <w:rsid w:val="007E2463"/>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7E2463"/>
    <w:rPr>
      <w:lang w:val="ru-RU"/>
    </w:rPr>
  </w:style>
  <w:style w:type="table" w:styleId="af1">
    <w:name w:val="Table Grid"/>
    <w:basedOn w:val="a1"/>
    <w:uiPriority w:val="39"/>
    <w:rsid w:val="00B93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 Знак Знак1 Знак Знак Знак Знак Знак Знак Знак Знак Знак Знак Знак Знак Знак Знак Знак Знак"/>
    <w:basedOn w:val="a"/>
    <w:rsid w:val="00D51BAB"/>
    <w:pPr>
      <w:spacing w:after="0" w:line="240" w:lineRule="auto"/>
    </w:pPr>
    <w:rPr>
      <w:rFonts w:ascii="Verdana" w:eastAsia="Times New Roman" w:hAnsi="Verdana" w:cs="Verdana"/>
      <w:sz w:val="20"/>
      <w:szCs w:val="20"/>
      <w:lang w:val="en-US"/>
    </w:rPr>
  </w:style>
  <w:style w:type="character" w:customStyle="1" w:styleId="FontStyle27">
    <w:name w:val="Font Style27"/>
    <w:uiPriority w:val="99"/>
    <w:rsid w:val="008002D7"/>
    <w:rPr>
      <w:rFonts w:ascii="Times New Roman" w:hAnsi="Times New Roman" w:cs="Times New Roman" w:hint="default"/>
      <w:sz w:val="24"/>
      <w:szCs w:val="24"/>
    </w:rPr>
  </w:style>
  <w:style w:type="paragraph" w:customStyle="1" w:styleId="Style15">
    <w:name w:val="Style15"/>
    <w:basedOn w:val="a"/>
    <w:uiPriority w:val="99"/>
    <w:rsid w:val="008002D7"/>
    <w:pPr>
      <w:widowControl w:val="0"/>
      <w:autoSpaceDE w:val="0"/>
      <w:autoSpaceDN w:val="0"/>
      <w:adjustRightInd w:val="0"/>
      <w:spacing w:after="0" w:line="317" w:lineRule="exact"/>
      <w:jc w:val="both"/>
    </w:pPr>
    <w:rPr>
      <w:rFonts w:ascii="Times New Roman" w:eastAsia="Times New Roman" w:hAnsi="Times New Roman" w:cs="Times New Roman"/>
      <w:sz w:val="24"/>
      <w:szCs w:val="24"/>
      <w:lang w:val="uk-UA" w:eastAsia="uk-UA"/>
    </w:rPr>
  </w:style>
  <w:style w:type="paragraph" w:customStyle="1" w:styleId="Style22">
    <w:name w:val="Style22"/>
    <w:basedOn w:val="a"/>
    <w:uiPriority w:val="99"/>
    <w:rsid w:val="008002D7"/>
    <w:pPr>
      <w:widowControl w:val="0"/>
      <w:autoSpaceDE w:val="0"/>
      <w:autoSpaceDN w:val="0"/>
      <w:adjustRightInd w:val="0"/>
      <w:spacing w:after="0" w:line="317" w:lineRule="exact"/>
      <w:ind w:firstLine="713"/>
      <w:jc w:val="both"/>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3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65F7-E5F0-4C28-AE75-46C6B2CC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10</Pages>
  <Words>22291</Words>
  <Characters>12707</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M Lebedeva</cp:lastModifiedBy>
  <cp:revision>74</cp:revision>
  <cp:lastPrinted>2016-05-12T11:40:00Z</cp:lastPrinted>
  <dcterms:created xsi:type="dcterms:W3CDTF">2015-10-15T14:58:00Z</dcterms:created>
  <dcterms:modified xsi:type="dcterms:W3CDTF">2017-08-03T12:34:00Z</dcterms:modified>
</cp:coreProperties>
</file>