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03" w:rsidRPr="00363003" w:rsidRDefault="00F671DB" w:rsidP="00363003">
      <w:pPr>
        <w:tabs>
          <w:tab w:val="left" w:pos="180"/>
        </w:tabs>
        <w:jc w:val="center"/>
        <w:rPr>
          <w:rFonts w:ascii="Courier" w:hAnsi="Courier" w:cs="Courier"/>
        </w:rPr>
      </w:pPr>
      <w:r>
        <w:rPr>
          <w:rFonts w:ascii="Courier" w:hAnsi="Courier" w:cs="Couri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1.9pt" fillcolor="window">
            <v:imagedata r:id="rId7" o:title=""/>
          </v:shape>
        </w:pict>
      </w:r>
    </w:p>
    <w:p w:rsidR="00363003" w:rsidRPr="00363003" w:rsidRDefault="00363003" w:rsidP="00363003">
      <w:pPr>
        <w:tabs>
          <w:tab w:val="left" w:pos="180"/>
        </w:tabs>
        <w:jc w:val="center"/>
        <w:rPr>
          <w:sz w:val="22"/>
          <w:szCs w:val="22"/>
          <w:lang w:val="sq-AL"/>
        </w:rPr>
      </w:pPr>
    </w:p>
    <w:p w:rsidR="00363003" w:rsidRPr="00363003" w:rsidRDefault="00363003" w:rsidP="00363003">
      <w:pPr>
        <w:tabs>
          <w:tab w:val="left" w:pos="180"/>
        </w:tabs>
        <w:suppressAutoHyphens/>
        <w:jc w:val="center"/>
        <w:rPr>
          <w:b/>
          <w:bCs/>
          <w:sz w:val="32"/>
          <w:szCs w:val="32"/>
          <w:lang w:val="uk-UA"/>
        </w:rPr>
      </w:pPr>
      <w:r w:rsidRPr="00363003">
        <w:rPr>
          <w:b/>
          <w:bCs/>
          <w:sz w:val="32"/>
          <w:szCs w:val="32"/>
          <w:lang w:val="uk-UA"/>
        </w:rPr>
        <w:t>ДЕРЖАВНА СЛУЖБА ГЕОЛОГІЇ ТА НАДР УКРАЇНИ</w:t>
      </w:r>
    </w:p>
    <w:p w:rsidR="00363003" w:rsidRPr="00363003" w:rsidRDefault="00363003" w:rsidP="00363003">
      <w:pPr>
        <w:tabs>
          <w:tab w:val="left" w:pos="180"/>
        </w:tabs>
        <w:ind w:left="480"/>
        <w:rPr>
          <w:sz w:val="2"/>
          <w:szCs w:val="2"/>
          <w:lang w:val="uk-UA" w:eastAsia="en-US"/>
        </w:rPr>
      </w:pPr>
    </w:p>
    <w:p w:rsidR="00363003" w:rsidRPr="00363003" w:rsidRDefault="00363003" w:rsidP="00363003">
      <w:pPr>
        <w:pBdr>
          <w:top w:val="thinThickThinSmallGap" w:sz="24" w:space="1" w:color="auto"/>
        </w:pBdr>
        <w:tabs>
          <w:tab w:val="left" w:pos="180"/>
        </w:tabs>
        <w:rPr>
          <w:sz w:val="28"/>
          <w:szCs w:val="20"/>
          <w:lang w:val="uk-UA"/>
        </w:rPr>
      </w:pPr>
    </w:p>
    <w:p w:rsidR="00363003" w:rsidRPr="00363003" w:rsidRDefault="00363003" w:rsidP="00363003">
      <w:pPr>
        <w:tabs>
          <w:tab w:val="left" w:pos="180"/>
        </w:tabs>
        <w:jc w:val="center"/>
        <w:rPr>
          <w:b/>
          <w:sz w:val="28"/>
          <w:szCs w:val="28"/>
          <w:lang w:val="uk-UA"/>
        </w:rPr>
      </w:pPr>
      <w:r w:rsidRPr="00363003">
        <w:rPr>
          <w:b/>
          <w:sz w:val="28"/>
          <w:szCs w:val="28"/>
          <w:lang w:val="uk-UA"/>
        </w:rPr>
        <w:t>Н А К А З</w:t>
      </w:r>
    </w:p>
    <w:p w:rsidR="00363003" w:rsidRPr="00363003" w:rsidRDefault="00363003" w:rsidP="00363003">
      <w:pPr>
        <w:tabs>
          <w:tab w:val="left" w:pos="180"/>
        </w:tabs>
        <w:ind w:firstLine="708"/>
        <w:jc w:val="center"/>
        <w:rPr>
          <w:b/>
          <w:bCs/>
          <w:sz w:val="28"/>
          <w:szCs w:val="28"/>
          <w:lang w:val="uk-UA"/>
        </w:rPr>
      </w:pPr>
    </w:p>
    <w:p w:rsidR="00363003" w:rsidRPr="00363003" w:rsidRDefault="00363003" w:rsidP="00363003">
      <w:pPr>
        <w:tabs>
          <w:tab w:val="left" w:pos="180"/>
        </w:tabs>
        <w:jc w:val="both"/>
        <w:rPr>
          <w:sz w:val="28"/>
          <w:szCs w:val="28"/>
          <w:lang w:val="uk-UA"/>
        </w:rPr>
      </w:pPr>
      <w:r w:rsidRPr="00363003">
        <w:rPr>
          <w:sz w:val="28"/>
          <w:szCs w:val="28"/>
        </w:rPr>
        <w:t>«</w:t>
      </w:r>
      <w:r w:rsidR="00C90168">
        <w:rPr>
          <w:sz w:val="28"/>
          <w:szCs w:val="28"/>
          <w:lang w:val="uk-UA"/>
        </w:rPr>
        <w:t>31</w:t>
      </w:r>
      <w:r w:rsidRPr="00363003">
        <w:rPr>
          <w:sz w:val="28"/>
          <w:szCs w:val="28"/>
        </w:rPr>
        <w:t>»</w:t>
      </w:r>
      <w:r w:rsidR="00C90168">
        <w:rPr>
          <w:sz w:val="28"/>
          <w:szCs w:val="28"/>
          <w:lang w:val="uk-UA"/>
        </w:rPr>
        <w:t xml:space="preserve"> травня</w:t>
      </w:r>
      <w:r w:rsidRPr="00363003">
        <w:rPr>
          <w:sz w:val="28"/>
          <w:szCs w:val="28"/>
          <w:lang w:val="uk-UA"/>
        </w:rPr>
        <w:t xml:space="preserve"> </w:t>
      </w:r>
      <w:r w:rsidRPr="00363003">
        <w:rPr>
          <w:sz w:val="28"/>
          <w:szCs w:val="28"/>
        </w:rPr>
        <w:t>201</w:t>
      </w:r>
      <w:r w:rsidRPr="00363003">
        <w:rPr>
          <w:sz w:val="28"/>
          <w:szCs w:val="28"/>
          <w:lang w:val="uk-UA"/>
        </w:rPr>
        <w:t>6</w:t>
      </w:r>
      <w:r w:rsidRPr="00363003">
        <w:rPr>
          <w:sz w:val="28"/>
          <w:szCs w:val="28"/>
        </w:rPr>
        <w:t xml:space="preserve"> р</w:t>
      </w:r>
      <w:r w:rsidRPr="00363003">
        <w:rPr>
          <w:sz w:val="28"/>
          <w:szCs w:val="28"/>
          <w:lang w:val="uk-UA"/>
        </w:rPr>
        <w:t>.</w:t>
      </w:r>
      <w:r w:rsidRPr="00363003">
        <w:rPr>
          <w:sz w:val="28"/>
          <w:szCs w:val="28"/>
        </w:rPr>
        <w:t xml:space="preserve">   </w:t>
      </w:r>
      <w:r w:rsidR="00C90168">
        <w:rPr>
          <w:sz w:val="28"/>
          <w:szCs w:val="28"/>
          <w:lang w:val="uk-UA"/>
        </w:rPr>
        <w:t xml:space="preserve">              </w:t>
      </w:r>
      <w:r w:rsidRPr="00363003">
        <w:rPr>
          <w:sz w:val="28"/>
          <w:szCs w:val="28"/>
        </w:rPr>
        <w:t xml:space="preserve">          </w:t>
      </w:r>
      <w:r w:rsidRPr="00363003">
        <w:rPr>
          <w:sz w:val="28"/>
          <w:szCs w:val="28"/>
          <w:lang w:val="uk-UA"/>
        </w:rPr>
        <w:t xml:space="preserve">м. Київ                    </w:t>
      </w:r>
      <w:r w:rsidR="00C90168">
        <w:rPr>
          <w:sz w:val="28"/>
          <w:szCs w:val="28"/>
          <w:lang w:val="uk-UA"/>
        </w:rPr>
        <w:t xml:space="preserve">    </w:t>
      </w:r>
      <w:r w:rsidRPr="00363003">
        <w:rPr>
          <w:sz w:val="28"/>
          <w:szCs w:val="28"/>
          <w:lang w:val="uk-UA"/>
        </w:rPr>
        <w:t xml:space="preserve">                  № </w:t>
      </w:r>
      <w:r w:rsidR="00C90168">
        <w:rPr>
          <w:sz w:val="28"/>
          <w:szCs w:val="28"/>
          <w:lang w:val="uk-UA"/>
        </w:rPr>
        <w:t>170</w:t>
      </w:r>
    </w:p>
    <w:p w:rsidR="00282796" w:rsidRDefault="00282796" w:rsidP="00363003">
      <w:pPr>
        <w:tabs>
          <w:tab w:val="left" w:pos="180"/>
        </w:tabs>
        <w:jc w:val="both"/>
        <w:rPr>
          <w:i/>
          <w:lang w:val="uk-UA"/>
        </w:rPr>
      </w:pPr>
    </w:p>
    <w:p w:rsidR="00282796" w:rsidRDefault="00282796" w:rsidP="00363003">
      <w:pPr>
        <w:tabs>
          <w:tab w:val="left" w:pos="180"/>
        </w:tabs>
        <w:jc w:val="both"/>
        <w:rPr>
          <w:i/>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282796" w:rsidRPr="00127470" w:rsidTr="00282796">
        <w:tc>
          <w:tcPr>
            <w:tcW w:w="4361" w:type="dxa"/>
          </w:tcPr>
          <w:p w:rsidR="00282796" w:rsidRDefault="00282796" w:rsidP="00282796">
            <w:pPr>
              <w:tabs>
                <w:tab w:val="left" w:pos="180"/>
              </w:tabs>
              <w:jc w:val="both"/>
              <w:rPr>
                <w:i/>
                <w:lang w:val="uk-UA"/>
              </w:rPr>
            </w:pPr>
            <w:r w:rsidRPr="00282796">
              <w:rPr>
                <w:i/>
                <w:lang w:val="uk-UA"/>
              </w:rPr>
              <w:t>Про затвердження диференційованих показників для визначення розміру посадового окладу керівників підприємств, установ та організацій, заснованих на державній власності, що належать до сфери управління Державної служби геології та надр України</w:t>
            </w:r>
          </w:p>
        </w:tc>
      </w:tr>
    </w:tbl>
    <w:p w:rsidR="00282796" w:rsidRDefault="00282796" w:rsidP="00363003">
      <w:pPr>
        <w:tabs>
          <w:tab w:val="left" w:pos="180"/>
        </w:tabs>
        <w:jc w:val="both"/>
        <w:rPr>
          <w:i/>
          <w:lang w:val="uk-UA"/>
        </w:rPr>
      </w:pPr>
    </w:p>
    <w:p w:rsidR="009731DD" w:rsidRPr="00282796" w:rsidRDefault="009731DD" w:rsidP="00FB6970">
      <w:pPr>
        <w:jc w:val="both"/>
        <w:rPr>
          <w:sz w:val="28"/>
          <w:lang w:val="uk-UA"/>
        </w:rPr>
      </w:pPr>
    </w:p>
    <w:p w:rsidR="00B662F2" w:rsidRDefault="00282796" w:rsidP="00282796">
      <w:pPr>
        <w:ind w:firstLine="567"/>
        <w:jc w:val="both"/>
        <w:rPr>
          <w:sz w:val="28"/>
          <w:lang w:val="uk-UA"/>
        </w:rPr>
      </w:pPr>
      <w:r w:rsidRPr="00282796">
        <w:rPr>
          <w:sz w:val="28"/>
          <w:szCs w:val="28"/>
          <w:lang w:val="uk-UA"/>
        </w:rPr>
        <w:t>Відповідно до пункту 9 Положення про Державну службу геології та надр України, затвердженого постановою Кабінету Міністрів України від 30.12.2015 № 1174 та постанови Кабінету Міністрів України від 19.05.1999 № 859 «Про умови і розміри оплати праці керівників підприємств, заснованих на державній, комунальній власності, та об’єднань державних підприємств» у редакції постанови Кабінету Міністрів України від 11.11.2015 № 1034 «Про внесення змін до постанов Кабінету Міністрів України від 2 серпня 1995 р. № 597 і від 19 травня 1999 р. № 859»</w:t>
      </w:r>
    </w:p>
    <w:p w:rsidR="00282796" w:rsidRPr="00282796" w:rsidRDefault="00282796" w:rsidP="00282796">
      <w:pPr>
        <w:shd w:val="clear" w:color="auto" w:fill="FFFFFF"/>
        <w:spacing w:before="240" w:after="120"/>
        <w:rPr>
          <w:b/>
          <w:spacing w:val="-6"/>
          <w:sz w:val="28"/>
          <w:szCs w:val="28"/>
          <w:lang w:val="uk-UA"/>
        </w:rPr>
      </w:pPr>
      <w:r w:rsidRPr="00282796">
        <w:rPr>
          <w:b/>
          <w:spacing w:val="-6"/>
          <w:sz w:val="28"/>
          <w:szCs w:val="28"/>
          <w:lang w:val="uk-UA"/>
        </w:rPr>
        <w:t>НАКАЗУЮ:</w:t>
      </w:r>
    </w:p>
    <w:p w:rsidR="00282796" w:rsidRDefault="00282796" w:rsidP="00282796">
      <w:pPr>
        <w:ind w:firstLine="533"/>
        <w:jc w:val="both"/>
        <w:rPr>
          <w:sz w:val="28"/>
          <w:lang w:val="uk-UA"/>
        </w:rPr>
      </w:pPr>
      <w:r w:rsidRPr="00282796">
        <w:rPr>
          <w:sz w:val="28"/>
          <w:szCs w:val="28"/>
          <w:lang w:val="uk-UA"/>
        </w:rPr>
        <w:t>1. Затвердити диференційовані показники для визначення розміру посадового окладу керівників підприємств, установ та організацій, заснованих на державній власності, що належать до сфери управління Держгеонадр (далі – диференційовані показники), що додаються.</w:t>
      </w:r>
    </w:p>
    <w:p w:rsidR="00282796" w:rsidRDefault="00282796" w:rsidP="00282796">
      <w:pPr>
        <w:ind w:firstLine="533"/>
        <w:jc w:val="both"/>
        <w:rPr>
          <w:sz w:val="28"/>
          <w:szCs w:val="28"/>
          <w:lang w:val="uk-UA"/>
        </w:rPr>
      </w:pPr>
      <w:r w:rsidRPr="00282796">
        <w:rPr>
          <w:sz w:val="28"/>
          <w:szCs w:val="28"/>
          <w:lang w:val="uk-UA"/>
        </w:rPr>
        <w:t>2. Управлінн</w:t>
      </w:r>
      <w:r w:rsidR="001864B0">
        <w:rPr>
          <w:sz w:val="28"/>
          <w:szCs w:val="28"/>
          <w:lang w:val="uk-UA"/>
        </w:rPr>
        <w:t>ю</w:t>
      </w:r>
      <w:r w:rsidRPr="00282796">
        <w:rPr>
          <w:sz w:val="28"/>
          <w:szCs w:val="28"/>
          <w:lang w:val="uk-UA"/>
        </w:rPr>
        <w:t xml:space="preserve"> економіки та бухгалтерського обліку встановлювати у контракті з керівниками підприємств та призначеними виконуючими обов'язки керівників підприємств, установ та організацій, заснованих на державній власності, що належать до сфери управління Держгеонадр, розмір посадового окладу залежно від середньооблікової чисельності працівників в еквіваленті повної зайнятості за рік, вартості активів підприємства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 згідно із затвердженими диференційованими показниками.</w:t>
      </w:r>
    </w:p>
    <w:p w:rsidR="00282796" w:rsidRDefault="00282796" w:rsidP="00282796">
      <w:pPr>
        <w:ind w:firstLine="533"/>
        <w:jc w:val="both"/>
        <w:rPr>
          <w:sz w:val="28"/>
          <w:lang w:val="uk-UA"/>
        </w:rPr>
      </w:pPr>
      <w:r w:rsidRPr="00282796">
        <w:rPr>
          <w:sz w:val="28"/>
          <w:szCs w:val="28"/>
          <w:lang w:val="uk-UA"/>
        </w:rPr>
        <w:lastRenderedPageBreak/>
        <w:t>У разі наявності можливості застосування двох і більше максимально допустимих розмірів посадового окладу керівника підприємства та призначеним виконуючим обов'язки керівника підприємства, установи та організації, заснованого на державній власності, що належить до сфери управління Держгеонадр, згідно із затвердженими диференційованими показниками  використовується найвищий із максимально допустимих розмірів посадових окладів</w:t>
      </w:r>
      <w:r>
        <w:rPr>
          <w:sz w:val="28"/>
          <w:szCs w:val="28"/>
          <w:lang w:val="uk-UA"/>
        </w:rPr>
        <w:t>.</w:t>
      </w:r>
    </w:p>
    <w:p w:rsidR="00282796" w:rsidRDefault="00D85112" w:rsidP="00282796">
      <w:pPr>
        <w:ind w:firstLine="532"/>
        <w:jc w:val="both"/>
        <w:rPr>
          <w:sz w:val="28"/>
          <w:szCs w:val="28"/>
          <w:lang w:val="uk-UA"/>
        </w:rPr>
      </w:pPr>
      <w:r>
        <w:rPr>
          <w:sz w:val="28"/>
          <w:szCs w:val="28"/>
          <w:lang w:val="uk-UA"/>
        </w:rPr>
        <w:t>3</w:t>
      </w:r>
      <w:r w:rsidR="00282796" w:rsidRPr="00282796">
        <w:rPr>
          <w:sz w:val="28"/>
          <w:szCs w:val="28"/>
          <w:lang w:val="uk-UA"/>
        </w:rPr>
        <w:t>. Департаменту організаційно-аналітичної роботи та управління персоналом спільно з Управлінням економіки та бухгалтерського обліку і Юридичним управлінням внести зміни до укладених контрактів з керівниками підприємств та переглянути встановлені розміри посадового окладу призначеним виконуючими обов'язки керівників підприємств, установ та організацій, заснованих на державній власності, що належать до сфери управління Держгеонадр</w:t>
      </w:r>
      <w:r w:rsidR="00282796">
        <w:rPr>
          <w:sz w:val="28"/>
          <w:szCs w:val="28"/>
          <w:lang w:val="uk-UA"/>
        </w:rPr>
        <w:t>.</w:t>
      </w:r>
    </w:p>
    <w:p w:rsidR="00282796" w:rsidRDefault="00D85112" w:rsidP="00282796">
      <w:pPr>
        <w:ind w:firstLine="532"/>
        <w:jc w:val="both"/>
        <w:rPr>
          <w:sz w:val="28"/>
          <w:szCs w:val="28"/>
          <w:lang w:val="uk-UA"/>
        </w:rPr>
      </w:pPr>
      <w:r>
        <w:rPr>
          <w:sz w:val="28"/>
          <w:szCs w:val="28"/>
          <w:lang w:val="uk-UA"/>
        </w:rPr>
        <w:t>4</w:t>
      </w:r>
      <w:r w:rsidR="00282796" w:rsidRPr="00282796">
        <w:rPr>
          <w:sz w:val="28"/>
          <w:szCs w:val="28"/>
          <w:lang w:val="uk-UA"/>
        </w:rPr>
        <w:t>. Управлінню економіки та бухгалтерського обліку забезпечувати затвердження розмірів виплат посадового окладу та преміювання керівників підприємств та призначеним виконуючими обов'язки керівників підприємств, заснованих на державній власності, що належать до сфери управління Держгеонадр, у фінансових планах таких підприємств.</w:t>
      </w:r>
    </w:p>
    <w:p w:rsidR="00282796" w:rsidRDefault="00D85112" w:rsidP="00282796">
      <w:pPr>
        <w:ind w:firstLine="532"/>
        <w:jc w:val="both"/>
        <w:rPr>
          <w:sz w:val="28"/>
          <w:szCs w:val="28"/>
          <w:lang w:val="uk-UA"/>
        </w:rPr>
      </w:pPr>
      <w:r>
        <w:rPr>
          <w:sz w:val="28"/>
          <w:szCs w:val="28"/>
          <w:lang w:val="uk-UA"/>
        </w:rPr>
        <w:t>5</w:t>
      </w:r>
      <w:r w:rsidR="00282796" w:rsidRPr="00282796">
        <w:rPr>
          <w:sz w:val="28"/>
          <w:szCs w:val="28"/>
          <w:lang w:val="uk-UA"/>
        </w:rPr>
        <w:t>. Контроль за виконанням цього наказу залишаю за собою.</w:t>
      </w:r>
    </w:p>
    <w:p w:rsidR="00282796" w:rsidRDefault="00282796" w:rsidP="00282796">
      <w:pPr>
        <w:ind w:firstLine="532"/>
        <w:jc w:val="both"/>
        <w:rPr>
          <w:sz w:val="28"/>
          <w:szCs w:val="28"/>
          <w:lang w:val="uk-UA"/>
        </w:rPr>
      </w:pPr>
    </w:p>
    <w:p w:rsidR="00282796" w:rsidRPr="00282796" w:rsidRDefault="00282796" w:rsidP="00282796">
      <w:pPr>
        <w:ind w:firstLine="532"/>
        <w:jc w:val="both"/>
        <w:rPr>
          <w:sz w:val="28"/>
          <w:lang w:val="uk-UA"/>
        </w:rPr>
      </w:pPr>
    </w:p>
    <w:p w:rsidR="009C2B62" w:rsidRDefault="00EE6962" w:rsidP="009C2B62">
      <w:pPr>
        <w:shd w:val="clear" w:color="auto" w:fill="FFFFFF"/>
        <w:tabs>
          <w:tab w:val="left" w:pos="1080"/>
        </w:tabs>
        <w:spacing w:before="120"/>
        <w:ind w:left="1440" w:hanging="1440"/>
        <w:rPr>
          <w:b/>
          <w:color w:val="000000"/>
          <w:spacing w:val="-6"/>
          <w:sz w:val="28"/>
          <w:szCs w:val="28"/>
          <w:lang w:val="uk-UA"/>
        </w:rPr>
      </w:pPr>
      <w:bookmarkStart w:id="0" w:name="n57"/>
      <w:bookmarkEnd w:id="0"/>
      <w:proofErr w:type="spellStart"/>
      <w:r>
        <w:rPr>
          <w:b/>
          <w:color w:val="000000"/>
          <w:spacing w:val="-6"/>
          <w:sz w:val="28"/>
          <w:szCs w:val="28"/>
          <w:lang w:val="uk-UA"/>
        </w:rPr>
        <w:t>Т.в.о</w:t>
      </w:r>
      <w:proofErr w:type="spellEnd"/>
      <w:r>
        <w:rPr>
          <w:b/>
          <w:color w:val="000000"/>
          <w:spacing w:val="-6"/>
          <w:sz w:val="28"/>
          <w:szCs w:val="28"/>
          <w:lang w:val="uk-UA"/>
        </w:rPr>
        <w:t xml:space="preserve">. </w:t>
      </w:r>
      <w:r w:rsidR="009C2B62" w:rsidRPr="00755EDF">
        <w:rPr>
          <w:b/>
          <w:color w:val="000000"/>
          <w:spacing w:val="-6"/>
          <w:sz w:val="28"/>
          <w:szCs w:val="28"/>
          <w:lang w:val="uk-UA"/>
        </w:rPr>
        <w:t>Голов</w:t>
      </w:r>
      <w:r>
        <w:rPr>
          <w:b/>
          <w:color w:val="000000"/>
          <w:spacing w:val="-6"/>
          <w:sz w:val="28"/>
          <w:szCs w:val="28"/>
          <w:lang w:val="uk-UA"/>
        </w:rPr>
        <w:t>и</w:t>
      </w:r>
      <w:r w:rsidR="009C2B62" w:rsidRPr="00755EDF">
        <w:rPr>
          <w:b/>
          <w:color w:val="000000"/>
          <w:spacing w:val="-6"/>
          <w:sz w:val="28"/>
          <w:szCs w:val="28"/>
          <w:lang w:val="uk-UA"/>
        </w:rPr>
        <w:t xml:space="preserve">                                                                   </w:t>
      </w:r>
      <w:r w:rsidR="009C2B62">
        <w:rPr>
          <w:b/>
          <w:color w:val="000000"/>
          <w:spacing w:val="-6"/>
          <w:sz w:val="28"/>
          <w:szCs w:val="28"/>
          <w:lang w:val="uk-UA"/>
        </w:rPr>
        <w:t xml:space="preserve">  </w:t>
      </w:r>
      <w:r w:rsidR="009731DD">
        <w:rPr>
          <w:b/>
          <w:color w:val="000000"/>
          <w:spacing w:val="-6"/>
          <w:sz w:val="28"/>
          <w:szCs w:val="28"/>
          <w:lang w:val="uk-UA"/>
        </w:rPr>
        <w:t xml:space="preserve">               </w:t>
      </w:r>
      <w:r w:rsidR="009C2B62" w:rsidRPr="00755EDF">
        <w:rPr>
          <w:b/>
          <w:color w:val="000000"/>
          <w:spacing w:val="-6"/>
          <w:sz w:val="28"/>
          <w:szCs w:val="28"/>
          <w:lang w:val="uk-UA"/>
        </w:rPr>
        <w:t xml:space="preserve">  </w:t>
      </w:r>
      <w:r w:rsidR="009C2B62">
        <w:rPr>
          <w:b/>
          <w:color w:val="000000"/>
          <w:spacing w:val="-6"/>
          <w:sz w:val="28"/>
          <w:szCs w:val="28"/>
          <w:lang w:val="uk-UA"/>
        </w:rPr>
        <w:t xml:space="preserve">      </w:t>
      </w:r>
      <w:r w:rsidR="009C2B62" w:rsidRPr="00755EDF">
        <w:rPr>
          <w:b/>
          <w:color w:val="000000"/>
          <w:spacing w:val="-6"/>
          <w:sz w:val="28"/>
          <w:szCs w:val="28"/>
          <w:lang w:val="uk-UA"/>
        </w:rPr>
        <w:t xml:space="preserve">      </w:t>
      </w:r>
      <w:r>
        <w:rPr>
          <w:b/>
          <w:color w:val="000000"/>
          <w:spacing w:val="-6"/>
          <w:sz w:val="28"/>
          <w:szCs w:val="28"/>
          <w:lang w:val="uk-UA"/>
        </w:rPr>
        <w:t xml:space="preserve">М.О. </w:t>
      </w:r>
      <w:proofErr w:type="spellStart"/>
      <w:r>
        <w:rPr>
          <w:b/>
          <w:color w:val="000000"/>
          <w:spacing w:val="-6"/>
          <w:sz w:val="28"/>
          <w:szCs w:val="28"/>
          <w:lang w:val="uk-UA"/>
        </w:rPr>
        <w:t>Бояркін</w:t>
      </w:r>
      <w:proofErr w:type="spellEnd"/>
    </w:p>
    <w:p w:rsidR="003C4FFB" w:rsidRDefault="003C4FFB">
      <w:pPr>
        <w:spacing w:after="200" w:line="276" w:lineRule="auto"/>
        <w:rPr>
          <w:b/>
          <w:color w:val="000000"/>
          <w:spacing w:val="-6"/>
          <w:sz w:val="28"/>
          <w:szCs w:val="28"/>
          <w:lang w:val="uk-UA"/>
        </w:rPr>
      </w:pPr>
      <w:r>
        <w:rPr>
          <w:b/>
          <w:color w:val="000000"/>
          <w:spacing w:val="-6"/>
          <w:sz w:val="28"/>
          <w:szCs w:val="28"/>
          <w:lang w:val="uk-UA"/>
        </w:rPr>
        <w:br w:type="page"/>
      </w:r>
    </w:p>
    <w:p w:rsidR="003C4FFB" w:rsidRDefault="003C4FFB" w:rsidP="009C2B62">
      <w:pPr>
        <w:shd w:val="clear" w:color="auto" w:fill="FFFFFF"/>
        <w:tabs>
          <w:tab w:val="left" w:pos="1080"/>
        </w:tabs>
        <w:spacing w:before="120"/>
        <w:ind w:left="1440" w:hanging="1440"/>
        <w:rPr>
          <w:b/>
          <w:color w:val="000000"/>
          <w:spacing w:val="-6"/>
          <w:sz w:val="28"/>
          <w:szCs w:val="28"/>
          <w:lang w:val="uk-UA"/>
        </w:rPr>
      </w:pPr>
    </w:p>
    <w:tbl>
      <w:tblPr>
        <w:tblW w:w="4608" w:type="dxa"/>
        <w:tblInd w:w="5328" w:type="dxa"/>
        <w:tblLook w:val="01E0" w:firstRow="1" w:lastRow="1" w:firstColumn="1" w:lastColumn="1" w:noHBand="0" w:noVBand="0"/>
      </w:tblPr>
      <w:tblGrid>
        <w:gridCol w:w="4608"/>
      </w:tblGrid>
      <w:tr w:rsidR="003C4FFB" w:rsidRPr="003C4FFB" w:rsidTr="00C31CE8">
        <w:tc>
          <w:tcPr>
            <w:tcW w:w="4608" w:type="dxa"/>
            <w:shd w:val="clear" w:color="auto" w:fill="auto"/>
          </w:tcPr>
          <w:p w:rsidR="003C4FFB" w:rsidRPr="003C4FFB" w:rsidRDefault="003C4FFB" w:rsidP="003C4FFB">
            <w:pPr>
              <w:widowControl w:val="0"/>
              <w:autoSpaceDE w:val="0"/>
              <w:autoSpaceDN w:val="0"/>
              <w:adjustRightInd w:val="0"/>
              <w:rPr>
                <w:sz w:val="28"/>
                <w:szCs w:val="28"/>
                <w:lang w:val="uk-UA"/>
              </w:rPr>
            </w:pPr>
            <w:r w:rsidRPr="003C4FFB">
              <w:rPr>
                <w:sz w:val="28"/>
                <w:szCs w:val="28"/>
                <w:lang w:val="uk-UA"/>
              </w:rPr>
              <w:t>ЗАТВЕРДЖЕНО</w:t>
            </w:r>
          </w:p>
          <w:p w:rsidR="003C4FFB" w:rsidRPr="003C4FFB" w:rsidRDefault="003C4FFB" w:rsidP="003C4FFB">
            <w:pPr>
              <w:widowControl w:val="0"/>
              <w:autoSpaceDE w:val="0"/>
              <w:autoSpaceDN w:val="0"/>
              <w:adjustRightInd w:val="0"/>
              <w:rPr>
                <w:sz w:val="28"/>
                <w:szCs w:val="28"/>
                <w:lang w:val="uk-UA"/>
              </w:rPr>
            </w:pPr>
            <w:r w:rsidRPr="003C4FFB">
              <w:rPr>
                <w:sz w:val="28"/>
                <w:szCs w:val="28"/>
                <w:lang w:val="uk-UA"/>
              </w:rPr>
              <w:t>Наказ Державної служби геології та надр України</w:t>
            </w:r>
          </w:p>
          <w:p w:rsidR="003C4FFB" w:rsidRPr="003C4FFB" w:rsidRDefault="003C4FFB" w:rsidP="00127470">
            <w:pPr>
              <w:widowControl w:val="0"/>
              <w:autoSpaceDE w:val="0"/>
              <w:autoSpaceDN w:val="0"/>
              <w:adjustRightInd w:val="0"/>
              <w:rPr>
                <w:sz w:val="28"/>
                <w:szCs w:val="28"/>
                <w:lang w:val="uk-UA"/>
              </w:rPr>
            </w:pPr>
            <w:r w:rsidRPr="003C4FFB">
              <w:rPr>
                <w:sz w:val="28"/>
                <w:szCs w:val="28"/>
                <w:lang w:val="uk-UA"/>
              </w:rPr>
              <w:t>від 31 травня</w:t>
            </w:r>
            <w:r w:rsidR="00127470">
              <w:rPr>
                <w:sz w:val="28"/>
                <w:szCs w:val="28"/>
                <w:lang w:val="uk-UA"/>
              </w:rPr>
              <w:t xml:space="preserve"> </w:t>
            </w:r>
            <w:r w:rsidRPr="003C4FFB">
              <w:rPr>
                <w:sz w:val="28"/>
                <w:szCs w:val="28"/>
                <w:lang w:val="uk-UA"/>
              </w:rPr>
              <w:t>2016 року № 170</w:t>
            </w:r>
          </w:p>
        </w:tc>
      </w:tr>
    </w:tbl>
    <w:p w:rsidR="003C4FFB" w:rsidRPr="003C4FFB" w:rsidRDefault="003C4FFB" w:rsidP="003C4FFB">
      <w:pPr>
        <w:widowControl w:val="0"/>
        <w:autoSpaceDE w:val="0"/>
        <w:autoSpaceDN w:val="0"/>
        <w:adjustRightInd w:val="0"/>
        <w:rPr>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F671DB">
      <w:pPr>
        <w:widowControl w:val="0"/>
        <w:autoSpaceDE w:val="0"/>
        <w:autoSpaceDN w:val="0"/>
        <w:adjustRightInd w:val="0"/>
        <w:jc w:val="center"/>
        <w:rPr>
          <w:b/>
          <w:bCs/>
          <w:sz w:val="28"/>
          <w:szCs w:val="28"/>
          <w:lang w:val="uk-UA"/>
        </w:rPr>
      </w:pPr>
      <w:bookmarkStart w:id="1" w:name="_GoBack"/>
      <w:r w:rsidRPr="003C4FFB">
        <w:rPr>
          <w:b/>
          <w:bCs/>
          <w:sz w:val="28"/>
          <w:szCs w:val="28"/>
          <w:lang w:val="uk-UA"/>
        </w:rPr>
        <w:t>ДИФЕРЕНЦІЙОВАНІ ПОКАЗНИКИ</w:t>
      </w:r>
    </w:p>
    <w:p w:rsidR="003C4FFB" w:rsidRPr="003C4FFB" w:rsidRDefault="003C4FFB" w:rsidP="00F671DB">
      <w:pPr>
        <w:widowControl w:val="0"/>
        <w:autoSpaceDE w:val="0"/>
        <w:autoSpaceDN w:val="0"/>
        <w:adjustRightInd w:val="0"/>
        <w:jc w:val="center"/>
        <w:rPr>
          <w:bCs/>
          <w:sz w:val="28"/>
          <w:szCs w:val="28"/>
          <w:lang w:val="uk-UA"/>
        </w:rPr>
      </w:pPr>
      <w:r w:rsidRPr="003C4FFB">
        <w:rPr>
          <w:sz w:val="28"/>
          <w:szCs w:val="28"/>
          <w:lang w:val="uk-UA"/>
        </w:rPr>
        <w:t xml:space="preserve">для визначення розміру посадового окладу керівників підприємств, установ та організацій, заснованих на державній власності, що належать до сфери </w:t>
      </w:r>
      <w:r w:rsidR="00F671DB">
        <w:rPr>
          <w:sz w:val="28"/>
          <w:szCs w:val="28"/>
          <w:lang w:val="uk-UA"/>
        </w:rPr>
        <w:t>уп</w:t>
      </w:r>
      <w:r w:rsidRPr="003C4FFB">
        <w:rPr>
          <w:sz w:val="28"/>
          <w:szCs w:val="28"/>
          <w:lang w:val="uk-UA"/>
        </w:rPr>
        <w:t>равління</w:t>
      </w:r>
      <w:r w:rsidR="00F671DB">
        <w:rPr>
          <w:sz w:val="28"/>
          <w:szCs w:val="28"/>
          <w:lang w:val="uk-UA"/>
        </w:rPr>
        <w:t xml:space="preserve"> </w:t>
      </w:r>
      <w:r w:rsidRPr="003C4FFB">
        <w:rPr>
          <w:bCs/>
          <w:sz w:val="28"/>
          <w:szCs w:val="28"/>
          <w:lang w:val="uk-UA"/>
        </w:rPr>
        <w:t>Державної служби геології та надр України</w:t>
      </w:r>
    </w:p>
    <w:bookmarkEnd w:id="1"/>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27"/>
      </w:tblGrid>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Фінансові показники підприємства, за даними останньої річної фінансової звітності, та середньооблікова чисельність працівників в еквіваленті повної зайнятості робітника за рік</w:t>
            </w:r>
          </w:p>
          <w:p w:rsidR="003C4FFB" w:rsidRPr="003C4FFB" w:rsidRDefault="003C4FFB" w:rsidP="003C4FFB">
            <w:pPr>
              <w:widowControl w:val="0"/>
              <w:autoSpaceDE w:val="0"/>
              <w:autoSpaceDN w:val="0"/>
              <w:adjustRightInd w:val="0"/>
              <w:jc w:val="center"/>
              <w:rPr>
                <w:bCs/>
                <w:sz w:val="28"/>
                <w:szCs w:val="28"/>
                <w:lang w:val="uk-UA"/>
              </w:rPr>
            </w:pPr>
          </w:p>
        </w:tc>
        <w:tc>
          <w:tcPr>
            <w:tcW w:w="3827"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Розмір посадового окладу керівника підприємства у кратності до мінімального посадового окладу (ставки) працівника основної професії</w:t>
            </w: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both"/>
              <w:rPr>
                <w:color w:val="000000"/>
                <w:sz w:val="28"/>
                <w:szCs w:val="20"/>
                <w:shd w:val="clear" w:color="auto" w:fill="FFFFFF"/>
                <w:lang w:val="uk-UA"/>
              </w:rPr>
            </w:pPr>
            <w:r w:rsidRPr="003C4FFB">
              <w:rPr>
                <w:color w:val="000000"/>
                <w:sz w:val="28"/>
                <w:szCs w:val="20"/>
                <w:shd w:val="clear" w:color="auto" w:fill="FFFFFF"/>
                <w:lang w:val="uk-UA"/>
              </w:rPr>
              <w:t xml:space="preserve">1. Вартість активів становить менш як 1 млрд. гривень або річний чистий дохід від реалізації товарів (робіт, послуг) становить менш як 200 млн. гривень. </w:t>
            </w:r>
          </w:p>
          <w:p w:rsidR="003C4FFB" w:rsidRPr="003C4FFB" w:rsidRDefault="003C4FFB" w:rsidP="003C4FFB">
            <w:pPr>
              <w:widowControl w:val="0"/>
              <w:autoSpaceDE w:val="0"/>
              <w:autoSpaceDN w:val="0"/>
              <w:adjustRightInd w:val="0"/>
              <w:jc w:val="both"/>
              <w:rPr>
                <w:b/>
                <w:bCs/>
                <w:sz w:val="28"/>
                <w:szCs w:val="28"/>
                <w:lang w:val="uk-UA"/>
              </w:rPr>
            </w:pPr>
            <w:r w:rsidRPr="003C4FFB">
              <w:rPr>
                <w:color w:val="000000"/>
                <w:sz w:val="28"/>
                <w:szCs w:val="20"/>
                <w:shd w:val="clear" w:color="auto" w:fill="FFFFFF"/>
                <w:lang w:val="uk-UA"/>
              </w:rPr>
              <w:t>Середньооблікова чисельність працівників:</w:t>
            </w:r>
          </w:p>
        </w:tc>
        <w:tc>
          <w:tcPr>
            <w:tcW w:w="3827" w:type="dxa"/>
            <w:shd w:val="clear" w:color="auto" w:fill="auto"/>
          </w:tcPr>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center"/>
              <w:rPr>
                <w:color w:val="000000"/>
                <w:sz w:val="28"/>
                <w:szCs w:val="20"/>
                <w:shd w:val="clear" w:color="auto" w:fill="FFFFFF"/>
                <w:lang w:val="uk-UA"/>
              </w:rPr>
            </w:pPr>
            <w:r w:rsidRPr="003C4FFB">
              <w:rPr>
                <w:color w:val="000000"/>
                <w:sz w:val="28"/>
                <w:szCs w:val="20"/>
                <w:shd w:val="clear" w:color="auto" w:fill="FFFFFF"/>
                <w:lang w:val="uk-UA"/>
              </w:rPr>
              <w:t>до 200</w:t>
            </w:r>
          </w:p>
        </w:tc>
        <w:tc>
          <w:tcPr>
            <w:tcW w:w="3827"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до 5</w:t>
            </w: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center"/>
              <w:rPr>
                <w:color w:val="000000"/>
                <w:sz w:val="28"/>
                <w:szCs w:val="20"/>
                <w:shd w:val="clear" w:color="auto" w:fill="FFFFFF"/>
                <w:lang w:val="uk-UA"/>
              </w:rPr>
            </w:pPr>
            <w:r w:rsidRPr="003C4FFB">
              <w:rPr>
                <w:color w:val="000000"/>
                <w:sz w:val="28"/>
                <w:szCs w:val="20"/>
                <w:shd w:val="clear" w:color="auto" w:fill="FFFFFF"/>
                <w:lang w:val="uk-UA"/>
              </w:rPr>
              <w:t>від 201 до 400</w:t>
            </w:r>
          </w:p>
        </w:tc>
        <w:tc>
          <w:tcPr>
            <w:tcW w:w="3827"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до 8</w:t>
            </w: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center"/>
              <w:rPr>
                <w:color w:val="000000"/>
                <w:sz w:val="28"/>
                <w:szCs w:val="20"/>
                <w:shd w:val="clear" w:color="auto" w:fill="FFFFFF"/>
                <w:lang w:val="uk-UA"/>
              </w:rPr>
            </w:pPr>
            <w:r w:rsidRPr="003C4FFB">
              <w:rPr>
                <w:color w:val="000000"/>
                <w:sz w:val="28"/>
                <w:szCs w:val="20"/>
                <w:shd w:val="clear" w:color="auto" w:fill="FFFFFF"/>
                <w:lang w:val="uk-UA"/>
              </w:rPr>
              <w:t>від 401 до 500</w:t>
            </w:r>
          </w:p>
        </w:tc>
        <w:tc>
          <w:tcPr>
            <w:tcW w:w="3827"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до 10</w:t>
            </w: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both"/>
              <w:rPr>
                <w:color w:val="000000"/>
                <w:sz w:val="28"/>
                <w:szCs w:val="20"/>
                <w:shd w:val="clear" w:color="auto" w:fill="FFFFFF"/>
                <w:lang w:val="uk-UA"/>
              </w:rPr>
            </w:pPr>
            <w:r w:rsidRPr="003C4FFB">
              <w:rPr>
                <w:color w:val="000000"/>
                <w:sz w:val="28"/>
                <w:szCs w:val="20"/>
                <w:shd w:val="clear" w:color="auto" w:fill="FFFFFF"/>
                <w:lang w:val="uk-UA"/>
              </w:rPr>
              <w:t>2. Вартість активів становить більш як 1 млрд. гривень та не перевищує 3 млрд. гривень або річний чистий дохід від реалізації товарів (робіт, послуг) становить більш як 200 млн. гривень та не перевищує 1 млрд. гривень.</w:t>
            </w:r>
          </w:p>
          <w:p w:rsidR="003C4FFB" w:rsidRPr="003C4FFB" w:rsidRDefault="003C4FFB" w:rsidP="003C4FFB">
            <w:pPr>
              <w:widowControl w:val="0"/>
              <w:autoSpaceDE w:val="0"/>
              <w:autoSpaceDN w:val="0"/>
              <w:adjustRightInd w:val="0"/>
              <w:jc w:val="both"/>
              <w:rPr>
                <w:color w:val="000000"/>
                <w:sz w:val="28"/>
                <w:szCs w:val="20"/>
                <w:shd w:val="clear" w:color="auto" w:fill="FFFFFF"/>
                <w:lang w:val="uk-UA"/>
              </w:rPr>
            </w:pPr>
            <w:r w:rsidRPr="003C4FFB">
              <w:rPr>
                <w:color w:val="000000"/>
                <w:sz w:val="28"/>
                <w:szCs w:val="20"/>
                <w:shd w:val="clear" w:color="auto" w:fill="FFFFFF"/>
                <w:lang w:val="uk-UA"/>
              </w:rPr>
              <w:t>Середньооблікова чисельність працівників:</w:t>
            </w:r>
          </w:p>
        </w:tc>
        <w:tc>
          <w:tcPr>
            <w:tcW w:w="3827" w:type="dxa"/>
            <w:shd w:val="clear" w:color="auto" w:fill="auto"/>
          </w:tcPr>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center"/>
              <w:rPr>
                <w:color w:val="000000"/>
                <w:sz w:val="28"/>
                <w:szCs w:val="20"/>
                <w:shd w:val="clear" w:color="auto" w:fill="FFFFFF"/>
                <w:lang w:val="uk-UA"/>
              </w:rPr>
            </w:pPr>
            <w:r w:rsidRPr="003C4FFB">
              <w:rPr>
                <w:color w:val="000000"/>
                <w:sz w:val="28"/>
                <w:szCs w:val="20"/>
                <w:shd w:val="clear" w:color="auto" w:fill="FFFFFF"/>
                <w:lang w:val="uk-UA"/>
              </w:rPr>
              <w:t>від 501 до 900</w:t>
            </w:r>
          </w:p>
        </w:tc>
        <w:tc>
          <w:tcPr>
            <w:tcW w:w="3827"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до 20</w:t>
            </w:r>
          </w:p>
        </w:tc>
      </w:tr>
      <w:tr w:rsidR="003C4FFB" w:rsidRPr="003C4FFB" w:rsidTr="00C31CE8">
        <w:tc>
          <w:tcPr>
            <w:tcW w:w="6062" w:type="dxa"/>
            <w:shd w:val="clear" w:color="auto" w:fill="auto"/>
          </w:tcPr>
          <w:p w:rsidR="003C4FFB" w:rsidRPr="003C4FFB" w:rsidRDefault="003C4FFB" w:rsidP="003C4FFB">
            <w:pPr>
              <w:widowControl w:val="0"/>
              <w:autoSpaceDE w:val="0"/>
              <w:autoSpaceDN w:val="0"/>
              <w:adjustRightInd w:val="0"/>
              <w:jc w:val="center"/>
              <w:rPr>
                <w:color w:val="000000"/>
                <w:sz w:val="28"/>
                <w:szCs w:val="20"/>
                <w:shd w:val="clear" w:color="auto" w:fill="FFFFFF"/>
                <w:lang w:val="uk-UA"/>
              </w:rPr>
            </w:pPr>
            <w:r w:rsidRPr="003C4FFB">
              <w:rPr>
                <w:color w:val="000000"/>
                <w:sz w:val="28"/>
                <w:szCs w:val="20"/>
                <w:shd w:val="clear" w:color="auto" w:fill="FFFFFF"/>
                <w:lang w:val="uk-UA"/>
              </w:rPr>
              <w:t>від 901 до 1000</w:t>
            </w:r>
          </w:p>
        </w:tc>
        <w:tc>
          <w:tcPr>
            <w:tcW w:w="3827" w:type="dxa"/>
            <w:shd w:val="clear" w:color="auto" w:fill="auto"/>
          </w:tcPr>
          <w:p w:rsidR="003C4FFB" w:rsidRPr="003C4FFB" w:rsidRDefault="003C4FFB" w:rsidP="003C4FFB">
            <w:pPr>
              <w:widowControl w:val="0"/>
              <w:autoSpaceDE w:val="0"/>
              <w:autoSpaceDN w:val="0"/>
              <w:adjustRightInd w:val="0"/>
              <w:jc w:val="center"/>
              <w:rPr>
                <w:bCs/>
                <w:sz w:val="28"/>
                <w:szCs w:val="28"/>
                <w:lang w:val="uk-UA"/>
              </w:rPr>
            </w:pPr>
            <w:r w:rsidRPr="003C4FFB">
              <w:rPr>
                <w:bCs/>
                <w:sz w:val="28"/>
                <w:szCs w:val="28"/>
                <w:lang w:val="uk-UA"/>
              </w:rPr>
              <w:t>до 30</w:t>
            </w:r>
          </w:p>
        </w:tc>
      </w:tr>
    </w:tbl>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jc w:val="center"/>
        <w:rPr>
          <w:b/>
          <w:bCs/>
          <w:sz w:val="28"/>
          <w:szCs w:val="28"/>
          <w:lang w:val="uk-UA"/>
        </w:rPr>
      </w:pPr>
    </w:p>
    <w:p w:rsidR="003C4FFB" w:rsidRPr="003C4FFB" w:rsidRDefault="003C4FFB" w:rsidP="003C4FFB">
      <w:pPr>
        <w:widowControl w:val="0"/>
        <w:autoSpaceDE w:val="0"/>
        <w:autoSpaceDN w:val="0"/>
        <w:adjustRightInd w:val="0"/>
        <w:rPr>
          <w:bCs/>
          <w:sz w:val="28"/>
          <w:szCs w:val="28"/>
          <w:lang w:val="uk-UA"/>
        </w:rPr>
      </w:pPr>
      <w:r w:rsidRPr="003C4FFB">
        <w:rPr>
          <w:bCs/>
          <w:sz w:val="28"/>
          <w:szCs w:val="28"/>
          <w:lang w:val="uk-UA"/>
        </w:rPr>
        <w:t xml:space="preserve">Начальник Управління економіки </w:t>
      </w:r>
    </w:p>
    <w:p w:rsidR="003C4FFB" w:rsidRPr="003C4FFB" w:rsidRDefault="003C4FFB" w:rsidP="003C4FFB">
      <w:pPr>
        <w:widowControl w:val="0"/>
        <w:autoSpaceDE w:val="0"/>
        <w:autoSpaceDN w:val="0"/>
        <w:adjustRightInd w:val="0"/>
        <w:rPr>
          <w:bCs/>
          <w:sz w:val="28"/>
          <w:szCs w:val="28"/>
          <w:lang w:val="uk-UA"/>
        </w:rPr>
      </w:pPr>
      <w:r w:rsidRPr="003C4FFB">
        <w:rPr>
          <w:bCs/>
          <w:sz w:val="28"/>
          <w:szCs w:val="28"/>
          <w:lang w:val="uk-UA"/>
        </w:rPr>
        <w:t>та бухгалтерського обліку – головний бухгалтер                        Л.І. Коноваленко</w:t>
      </w:r>
    </w:p>
    <w:p w:rsidR="003C4FFB" w:rsidRPr="003C4FFB" w:rsidRDefault="003C4FFB" w:rsidP="003C4FFB">
      <w:pPr>
        <w:widowControl w:val="0"/>
        <w:autoSpaceDE w:val="0"/>
        <w:autoSpaceDN w:val="0"/>
        <w:adjustRightInd w:val="0"/>
        <w:rPr>
          <w:b/>
          <w:bCs/>
          <w:sz w:val="28"/>
          <w:szCs w:val="28"/>
          <w:lang w:val="uk-UA"/>
        </w:rPr>
      </w:pPr>
    </w:p>
    <w:p w:rsidR="003C4FFB" w:rsidRDefault="003C4FFB" w:rsidP="009C2B62">
      <w:pPr>
        <w:shd w:val="clear" w:color="auto" w:fill="FFFFFF"/>
        <w:tabs>
          <w:tab w:val="left" w:pos="1080"/>
        </w:tabs>
        <w:spacing w:before="120"/>
        <w:ind w:left="1440" w:hanging="1440"/>
        <w:rPr>
          <w:b/>
          <w:color w:val="000000"/>
          <w:spacing w:val="-6"/>
          <w:sz w:val="28"/>
          <w:szCs w:val="28"/>
          <w:lang w:val="uk-UA"/>
        </w:rPr>
      </w:pPr>
    </w:p>
    <w:sectPr w:rsidR="003C4FFB" w:rsidSect="00F671D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C9B"/>
    <w:multiLevelType w:val="hybridMultilevel"/>
    <w:tmpl w:val="1716203E"/>
    <w:lvl w:ilvl="0" w:tplc="2F2ACC6E">
      <w:start w:val="1"/>
      <w:numFmt w:val="decimal"/>
      <w:lvlText w:val="%1."/>
      <w:lvlJc w:val="left"/>
      <w:pPr>
        <w:tabs>
          <w:tab w:val="num" w:pos="1211"/>
        </w:tabs>
        <w:ind w:left="1211" w:hanging="360"/>
      </w:pPr>
      <w:rPr>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20F7660B"/>
    <w:multiLevelType w:val="hybridMultilevel"/>
    <w:tmpl w:val="1A327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70"/>
    <w:rsid w:val="00051209"/>
    <w:rsid w:val="00071EC5"/>
    <w:rsid w:val="00072707"/>
    <w:rsid w:val="00075248"/>
    <w:rsid w:val="00076C77"/>
    <w:rsid w:val="000A33DA"/>
    <w:rsid w:val="000A3A5F"/>
    <w:rsid w:val="000A596E"/>
    <w:rsid w:val="000B635B"/>
    <w:rsid w:val="000C3EFF"/>
    <w:rsid w:val="000C44AB"/>
    <w:rsid w:val="000D06C8"/>
    <w:rsid w:val="000D4150"/>
    <w:rsid w:val="00114BBB"/>
    <w:rsid w:val="00127470"/>
    <w:rsid w:val="00135B78"/>
    <w:rsid w:val="001401B5"/>
    <w:rsid w:val="00150CE8"/>
    <w:rsid w:val="00163472"/>
    <w:rsid w:val="001864B0"/>
    <w:rsid w:val="001951E0"/>
    <w:rsid w:val="001B7161"/>
    <w:rsid w:val="001C3AA3"/>
    <w:rsid w:val="001D0A59"/>
    <w:rsid w:val="001F0AAC"/>
    <w:rsid w:val="001F6765"/>
    <w:rsid w:val="0020145A"/>
    <w:rsid w:val="00243B7A"/>
    <w:rsid w:val="002474DD"/>
    <w:rsid w:val="00266919"/>
    <w:rsid w:val="00282796"/>
    <w:rsid w:val="0028387C"/>
    <w:rsid w:val="002A7CEA"/>
    <w:rsid w:val="002E2631"/>
    <w:rsid w:val="002E5C4D"/>
    <w:rsid w:val="002F0710"/>
    <w:rsid w:val="00303B7F"/>
    <w:rsid w:val="003133D9"/>
    <w:rsid w:val="00343B9F"/>
    <w:rsid w:val="00360FEA"/>
    <w:rsid w:val="00363003"/>
    <w:rsid w:val="00365D37"/>
    <w:rsid w:val="00393904"/>
    <w:rsid w:val="003A044D"/>
    <w:rsid w:val="003B4133"/>
    <w:rsid w:val="003C4FFB"/>
    <w:rsid w:val="003D33B7"/>
    <w:rsid w:val="003D4A0A"/>
    <w:rsid w:val="003E4392"/>
    <w:rsid w:val="003E46F8"/>
    <w:rsid w:val="003F036F"/>
    <w:rsid w:val="003F2BC6"/>
    <w:rsid w:val="0042541A"/>
    <w:rsid w:val="00426E57"/>
    <w:rsid w:val="004341EE"/>
    <w:rsid w:val="00453273"/>
    <w:rsid w:val="004643D8"/>
    <w:rsid w:val="004900F5"/>
    <w:rsid w:val="004934CC"/>
    <w:rsid w:val="004B2538"/>
    <w:rsid w:val="004C5154"/>
    <w:rsid w:val="004E1520"/>
    <w:rsid w:val="004E760E"/>
    <w:rsid w:val="004F7D61"/>
    <w:rsid w:val="00505961"/>
    <w:rsid w:val="00506B00"/>
    <w:rsid w:val="00512036"/>
    <w:rsid w:val="00517A3E"/>
    <w:rsid w:val="0054789A"/>
    <w:rsid w:val="00553569"/>
    <w:rsid w:val="00560780"/>
    <w:rsid w:val="00567238"/>
    <w:rsid w:val="005911C9"/>
    <w:rsid w:val="00597EBB"/>
    <w:rsid w:val="005A2F9F"/>
    <w:rsid w:val="005A6D1D"/>
    <w:rsid w:val="005A78B6"/>
    <w:rsid w:val="005D4A2B"/>
    <w:rsid w:val="00612AF8"/>
    <w:rsid w:val="00614DDE"/>
    <w:rsid w:val="006247C0"/>
    <w:rsid w:val="0063299F"/>
    <w:rsid w:val="006701B9"/>
    <w:rsid w:val="006B0A9B"/>
    <w:rsid w:val="006B0F03"/>
    <w:rsid w:val="006B706F"/>
    <w:rsid w:val="006B7911"/>
    <w:rsid w:val="006E7D94"/>
    <w:rsid w:val="006F6C64"/>
    <w:rsid w:val="00724648"/>
    <w:rsid w:val="007430F9"/>
    <w:rsid w:val="00763DDD"/>
    <w:rsid w:val="0079474C"/>
    <w:rsid w:val="007C44E0"/>
    <w:rsid w:val="008031C5"/>
    <w:rsid w:val="00814470"/>
    <w:rsid w:val="0082481F"/>
    <w:rsid w:val="00833AFC"/>
    <w:rsid w:val="0084154A"/>
    <w:rsid w:val="00857079"/>
    <w:rsid w:val="00873CD7"/>
    <w:rsid w:val="00892737"/>
    <w:rsid w:val="008A0897"/>
    <w:rsid w:val="008D0A02"/>
    <w:rsid w:val="008D6950"/>
    <w:rsid w:val="008E38C7"/>
    <w:rsid w:val="009058F6"/>
    <w:rsid w:val="009244C4"/>
    <w:rsid w:val="009274F9"/>
    <w:rsid w:val="00932EA2"/>
    <w:rsid w:val="00942893"/>
    <w:rsid w:val="0097290C"/>
    <w:rsid w:val="009731DD"/>
    <w:rsid w:val="0097411B"/>
    <w:rsid w:val="00981D1D"/>
    <w:rsid w:val="00990920"/>
    <w:rsid w:val="009C2B62"/>
    <w:rsid w:val="009D104C"/>
    <w:rsid w:val="009D4FA9"/>
    <w:rsid w:val="009E1003"/>
    <w:rsid w:val="009E7021"/>
    <w:rsid w:val="009F1DBE"/>
    <w:rsid w:val="009F3545"/>
    <w:rsid w:val="00A026AF"/>
    <w:rsid w:val="00A13FC5"/>
    <w:rsid w:val="00A17A21"/>
    <w:rsid w:val="00A27ED2"/>
    <w:rsid w:val="00A3240C"/>
    <w:rsid w:val="00A641DD"/>
    <w:rsid w:val="00A753AA"/>
    <w:rsid w:val="00AC048B"/>
    <w:rsid w:val="00AC4608"/>
    <w:rsid w:val="00AC7485"/>
    <w:rsid w:val="00AC754D"/>
    <w:rsid w:val="00AD3ECA"/>
    <w:rsid w:val="00AF171D"/>
    <w:rsid w:val="00B54D81"/>
    <w:rsid w:val="00B662F2"/>
    <w:rsid w:val="00B722F1"/>
    <w:rsid w:val="00B74504"/>
    <w:rsid w:val="00B975CD"/>
    <w:rsid w:val="00BB2954"/>
    <w:rsid w:val="00BD4A70"/>
    <w:rsid w:val="00BD7089"/>
    <w:rsid w:val="00BE6D35"/>
    <w:rsid w:val="00BF468A"/>
    <w:rsid w:val="00BF59F8"/>
    <w:rsid w:val="00C00DA0"/>
    <w:rsid w:val="00C07B2E"/>
    <w:rsid w:val="00C54788"/>
    <w:rsid w:val="00C54FA5"/>
    <w:rsid w:val="00C55EB9"/>
    <w:rsid w:val="00C55FA6"/>
    <w:rsid w:val="00C6782B"/>
    <w:rsid w:val="00C82874"/>
    <w:rsid w:val="00C90168"/>
    <w:rsid w:val="00C90E37"/>
    <w:rsid w:val="00CE4E77"/>
    <w:rsid w:val="00CF318A"/>
    <w:rsid w:val="00D24950"/>
    <w:rsid w:val="00D373CF"/>
    <w:rsid w:val="00D85062"/>
    <w:rsid w:val="00D85112"/>
    <w:rsid w:val="00DA418A"/>
    <w:rsid w:val="00DA4C1C"/>
    <w:rsid w:val="00DB71F0"/>
    <w:rsid w:val="00DD456A"/>
    <w:rsid w:val="00DD6D5B"/>
    <w:rsid w:val="00DE474C"/>
    <w:rsid w:val="00DE623B"/>
    <w:rsid w:val="00DF365B"/>
    <w:rsid w:val="00E000E5"/>
    <w:rsid w:val="00E413B1"/>
    <w:rsid w:val="00E43BF8"/>
    <w:rsid w:val="00E64795"/>
    <w:rsid w:val="00E745BC"/>
    <w:rsid w:val="00E85543"/>
    <w:rsid w:val="00E97434"/>
    <w:rsid w:val="00EA7DD3"/>
    <w:rsid w:val="00EB4E20"/>
    <w:rsid w:val="00ED736A"/>
    <w:rsid w:val="00EE6962"/>
    <w:rsid w:val="00F007AB"/>
    <w:rsid w:val="00F124E2"/>
    <w:rsid w:val="00F23CB4"/>
    <w:rsid w:val="00F4464D"/>
    <w:rsid w:val="00F472B3"/>
    <w:rsid w:val="00F5381E"/>
    <w:rsid w:val="00F671DB"/>
    <w:rsid w:val="00F71CD9"/>
    <w:rsid w:val="00F7464B"/>
    <w:rsid w:val="00F901A6"/>
    <w:rsid w:val="00FA6498"/>
    <w:rsid w:val="00FB17BE"/>
    <w:rsid w:val="00FB6970"/>
    <w:rsid w:val="00FC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970"/>
    <w:rPr>
      <w:rFonts w:ascii="Tahoma" w:hAnsi="Tahoma" w:cs="Tahoma"/>
      <w:sz w:val="16"/>
      <w:szCs w:val="16"/>
    </w:rPr>
  </w:style>
  <w:style w:type="character" w:customStyle="1" w:styleId="a4">
    <w:name w:val="Текст выноски Знак"/>
    <w:basedOn w:val="a0"/>
    <w:link w:val="a3"/>
    <w:uiPriority w:val="99"/>
    <w:semiHidden/>
    <w:rsid w:val="00FB6970"/>
    <w:rPr>
      <w:rFonts w:ascii="Tahoma" w:eastAsia="Times New Roman" w:hAnsi="Tahoma" w:cs="Tahoma"/>
      <w:sz w:val="16"/>
      <w:szCs w:val="16"/>
      <w:lang w:eastAsia="ru-RU"/>
    </w:rPr>
  </w:style>
  <w:style w:type="paragraph" w:styleId="a5">
    <w:name w:val="List Paragraph"/>
    <w:basedOn w:val="a"/>
    <w:uiPriority w:val="34"/>
    <w:qFormat/>
    <w:rsid w:val="003F036F"/>
    <w:pPr>
      <w:ind w:left="720"/>
      <w:contextualSpacing/>
    </w:pPr>
  </w:style>
  <w:style w:type="table" w:styleId="a6">
    <w:name w:val="Table Grid"/>
    <w:basedOn w:val="a1"/>
    <w:uiPriority w:val="59"/>
    <w:rsid w:val="00363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E6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9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970"/>
    <w:rPr>
      <w:rFonts w:ascii="Tahoma" w:hAnsi="Tahoma" w:cs="Tahoma"/>
      <w:sz w:val="16"/>
      <w:szCs w:val="16"/>
    </w:rPr>
  </w:style>
  <w:style w:type="character" w:customStyle="1" w:styleId="a4">
    <w:name w:val="Текст выноски Знак"/>
    <w:basedOn w:val="a0"/>
    <w:link w:val="a3"/>
    <w:uiPriority w:val="99"/>
    <w:semiHidden/>
    <w:rsid w:val="00FB6970"/>
    <w:rPr>
      <w:rFonts w:ascii="Tahoma" w:eastAsia="Times New Roman" w:hAnsi="Tahoma" w:cs="Tahoma"/>
      <w:sz w:val="16"/>
      <w:szCs w:val="16"/>
      <w:lang w:eastAsia="ru-RU"/>
    </w:rPr>
  </w:style>
  <w:style w:type="paragraph" w:styleId="a5">
    <w:name w:val="List Paragraph"/>
    <w:basedOn w:val="a"/>
    <w:uiPriority w:val="34"/>
    <w:qFormat/>
    <w:rsid w:val="003F036F"/>
    <w:pPr>
      <w:ind w:left="720"/>
      <w:contextualSpacing/>
    </w:pPr>
  </w:style>
  <w:style w:type="table" w:styleId="a6">
    <w:name w:val="Table Grid"/>
    <w:basedOn w:val="a1"/>
    <w:uiPriority w:val="59"/>
    <w:rsid w:val="00363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E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6B5E-C85F-4C2F-9167-7FB55AF1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2016-06-08T08:22:00Z</cp:lastPrinted>
  <dcterms:created xsi:type="dcterms:W3CDTF">2016-06-08T09:04:00Z</dcterms:created>
  <dcterms:modified xsi:type="dcterms:W3CDTF">2016-06-08T09:21:00Z</dcterms:modified>
</cp:coreProperties>
</file>