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25" w:rsidRDefault="002D3625" w:rsidP="002D3625">
      <w:pPr>
        <w:pStyle w:val="TimesNewRoman"/>
        <w:tabs>
          <w:tab w:val="center" w:pos="0"/>
        </w:tabs>
        <w:spacing w:before="0" w:line="360" w:lineRule="auto"/>
        <w:ind w:right="-36"/>
        <w:rPr>
          <w:sz w:val="6"/>
        </w:rPr>
      </w:pPr>
      <w:r>
        <w:rPr>
          <w:noProof/>
          <w:lang w:val="ru-RU"/>
        </w:rPr>
        <w:drawing>
          <wp:inline distT="0" distB="0" distL="0" distR="0">
            <wp:extent cx="467995" cy="621665"/>
            <wp:effectExtent l="0" t="0" r="8255" b="6985"/>
            <wp:docPr id="1" name="Рисунок 1" descr="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б2"/>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67995" cy="621665"/>
                    </a:xfrm>
                    <a:prstGeom prst="rect">
                      <a:avLst/>
                    </a:prstGeom>
                    <a:noFill/>
                    <a:ln>
                      <a:noFill/>
                    </a:ln>
                  </pic:spPr>
                </pic:pic>
              </a:graphicData>
            </a:graphic>
          </wp:inline>
        </w:drawing>
      </w:r>
    </w:p>
    <w:p w:rsidR="002D3625" w:rsidRDefault="002D3625" w:rsidP="002D3625">
      <w:pPr>
        <w:pStyle w:val="TimesNewRoman"/>
        <w:spacing w:before="0"/>
        <w:ind w:right="-34"/>
        <w:rPr>
          <w:sz w:val="22"/>
          <w:szCs w:val="22"/>
        </w:rPr>
      </w:pPr>
    </w:p>
    <w:p w:rsidR="002D3625" w:rsidRDefault="002D3625" w:rsidP="002D3625">
      <w:pPr>
        <w:pStyle w:val="TimesNewRoman"/>
        <w:spacing w:before="0"/>
        <w:rPr>
          <w:sz w:val="32"/>
        </w:rPr>
      </w:pPr>
      <w:r>
        <w:rPr>
          <w:sz w:val="32"/>
        </w:rPr>
        <w:t>ДЕРЖАВНА СЛУЖБА ГЕОЛОГІЇ ТА НАДР УКРАЇНИ</w:t>
      </w:r>
    </w:p>
    <w:p w:rsidR="002D3625" w:rsidRDefault="002D3625" w:rsidP="002D3625">
      <w:pPr>
        <w:pStyle w:val="a3"/>
        <w:ind w:left="480"/>
        <w:rPr>
          <w:sz w:val="2"/>
          <w:lang w:eastAsia="en-US"/>
        </w:rPr>
      </w:pPr>
    </w:p>
    <w:p w:rsidR="002D3625" w:rsidRDefault="002D3625" w:rsidP="002D3625">
      <w:pPr>
        <w:pBdr>
          <w:top w:val="thinThickThinSmallGap" w:sz="24" w:space="1" w:color="auto"/>
        </w:pBdr>
        <w:jc w:val="center"/>
        <w:rPr>
          <w:sz w:val="20"/>
        </w:rPr>
      </w:pPr>
    </w:p>
    <w:p w:rsidR="002D3625" w:rsidRDefault="002D3625" w:rsidP="002D3625">
      <w:pPr>
        <w:widowControl w:val="0"/>
        <w:jc w:val="center"/>
      </w:pPr>
    </w:p>
    <w:p w:rsidR="002D3625" w:rsidRDefault="002D3625" w:rsidP="002D3625">
      <w:pPr>
        <w:pStyle w:val="3"/>
        <w:keepNext w:val="0"/>
        <w:keepLines w:val="0"/>
        <w:widowControl w:val="0"/>
        <w:spacing w:before="0"/>
        <w:jc w:val="center"/>
        <w:rPr>
          <w:rFonts w:ascii="Times New Roman" w:hAnsi="Times New Roman"/>
          <w:color w:val="auto"/>
        </w:rPr>
      </w:pPr>
      <w:r>
        <w:rPr>
          <w:rFonts w:ascii="Times New Roman" w:hAnsi="Times New Roman"/>
          <w:color w:val="auto"/>
        </w:rPr>
        <w:t>Н А К А З</w:t>
      </w:r>
    </w:p>
    <w:p w:rsidR="002D3625" w:rsidRDefault="002D3625" w:rsidP="002D3625">
      <w:pPr>
        <w:widowControl w:val="0"/>
        <w:jc w:val="center"/>
      </w:pPr>
    </w:p>
    <w:p w:rsidR="002D3625" w:rsidRDefault="002D3625" w:rsidP="002D3625">
      <w:pPr>
        <w:pStyle w:val="4"/>
        <w:keepNext w:val="0"/>
        <w:widowControl w:val="0"/>
        <w:spacing w:before="0" w:after="0"/>
        <w:rPr>
          <w:b w:val="0"/>
          <w:lang w:val="uk-UA"/>
        </w:rPr>
      </w:pPr>
      <w:r>
        <w:rPr>
          <w:b w:val="0"/>
          <w:lang w:val="uk-UA"/>
        </w:rPr>
        <w:t xml:space="preserve">«23» вересня 2016 р.                              Київ     </w:t>
      </w:r>
      <w:r>
        <w:rPr>
          <w:b w:val="0"/>
          <w:lang w:val="uk-UA"/>
        </w:rPr>
        <w:t xml:space="preserve">                            </w:t>
      </w:r>
      <w:r>
        <w:rPr>
          <w:b w:val="0"/>
          <w:lang w:val="uk-UA"/>
        </w:rPr>
        <w:t xml:space="preserve">                № 332</w:t>
      </w:r>
    </w:p>
    <w:p w:rsidR="002D3625" w:rsidRDefault="002D3625" w:rsidP="002D3625">
      <w:pPr>
        <w:tabs>
          <w:tab w:val="left" w:pos="4305"/>
        </w:tabs>
        <w:rPr>
          <w:color w:val="333333"/>
        </w:rPr>
      </w:pPr>
    </w:p>
    <w:p w:rsidR="002D3625" w:rsidRDefault="002D3625" w:rsidP="002D3625">
      <w:pPr>
        <w:tabs>
          <w:tab w:val="left" w:pos="4305"/>
        </w:tabs>
        <w:rPr>
          <w:color w:val="333333"/>
        </w:rPr>
      </w:pPr>
    </w:p>
    <w:p w:rsidR="002D3625" w:rsidRDefault="002D3625" w:rsidP="002D3625">
      <w:pPr>
        <w:tabs>
          <w:tab w:val="left" w:pos="4305"/>
        </w:tabs>
        <w:rPr>
          <w:color w:val="333333"/>
        </w:rPr>
      </w:pPr>
    </w:p>
    <w:p w:rsidR="002D3625" w:rsidRDefault="002D3625" w:rsidP="002D3625">
      <w:pPr>
        <w:tabs>
          <w:tab w:val="left" w:pos="4395"/>
          <w:tab w:val="left" w:pos="7655"/>
        </w:tabs>
        <w:ind w:right="5669"/>
        <w:jc w:val="both"/>
        <w:rPr>
          <w:i/>
        </w:rPr>
      </w:pPr>
      <w:r>
        <w:rPr>
          <w:i/>
        </w:rPr>
        <w:t xml:space="preserve">Про внесення зміни  до наказу </w:t>
      </w:r>
    </w:p>
    <w:p w:rsidR="002D3625" w:rsidRDefault="002D3625" w:rsidP="002D3625">
      <w:pPr>
        <w:tabs>
          <w:tab w:val="left" w:pos="4395"/>
          <w:tab w:val="left" w:pos="7655"/>
        </w:tabs>
        <w:ind w:right="5669"/>
        <w:rPr>
          <w:i/>
        </w:rPr>
      </w:pPr>
      <w:r>
        <w:rPr>
          <w:i/>
        </w:rPr>
        <w:t xml:space="preserve">Держгеонадр «Про списання державного майна» </w:t>
      </w:r>
    </w:p>
    <w:p w:rsidR="002D3625" w:rsidRDefault="002D3625" w:rsidP="002D3625">
      <w:pPr>
        <w:tabs>
          <w:tab w:val="left" w:pos="4395"/>
          <w:tab w:val="left" w:pos="7655"/>
        </w:tabs>
        <w:ind w:right="5669"/>
        <w:rPr>
          <w:i/>
        </w:rPr>
      </w:pPr>
      <w:r>
        <w:rPr>
          <w:i/>
        </w:rPr>
        <w:t>від 29.02.2012  № 72</w:t>
      </w:r>
    </w:p>
    <w:p w:rsidR="002D3625" w:rsidRDefault="002D3625" w:rsidP="002D3625">
      <w:pPr>
        <w:tabs>
          <w:tab w:val="left" w:pos="4395"/>
          <w:tab w:val="left" w:pos="7655"/>
        </w:tabs>
        <w:ind w:right="5669"/>
        <w:jc w:val="both"/>
        <w:rPr>
          <w:sz w:val="28"/>
          <w:szCs w:val="28"/>
        </w:rPr>
      </w:pPr>
      <w:bookmarkStart w:id="0" w:name="_GoBack"/>
      <w:bookmarkEnd w:id="0"/>
    </w:p>
    <w:p w:rsidR="002D3625" w:rsidRDefault="002D3625" w:rsidP="002D3625">
      <w:pPr>
        <w:tabs>
          <w:tab w:val="left" w:pos="4395"/>
          <w:tab w:val="left" w:pos="7655"/>
        </w:tabs>
        <w:ind w:right="-1" w:firstLine="709"/>
        <w:jc w:val="both"/>
        <w:rPr>
          <w:sz w:val="28"/>
          <w:szCs w:val="28"/>
        </w:rPr>
      </w:pPr>
      <w:r>
        <w:rPr>
          <w:sz w:val="28"/>
          <w:szCs w:val="28"/>
        </w:rPr>
        <w:t xml:space="preserve">З метою належного виконання Порядку списання об’єктів державної власності, затвердженого постановою Кабінету Міністрів України </w:t>
      </w:r>
      <w:r>
        <w:rPr>
          <w:sz w:val="28"/>
          <w:szCs w:val="28"/>
        </w:rPr>
        <w:br/>
        <w:t xml:space="preserve">від 08.11.2017 № 1314, Положення про інвентаризацію активів та зобов’язань, затвердженого наказом Міністерства фінансів України від 02.09.2014 № 879, з метою врегулювання питань щодо списання майна Держгеонадр, а також майна підприємств, установ та організацій, що належать до сфери управління Держгеонадр та у зв’язку із кадровими змінами,  </w:t>
      </w:r>
    </w:p>
    <w:p w:rsidR="002D3625" w:rsidRDefault="002D3625" w:rsidP="002D3625">
      <w:pPr>
        <w:tabs>
          <w:tab w:val="left" w:pos="4395"/>
          <w:tab w:val="left" w:pos="7655"/>
        </w:tabs>
        <w:ind w:right="-1"/>
        <w:rPr>
          <w:sz w:val="28"/>
          <w:szCs w:val="28"/>
        </w:rPr>
      </w:pPr>
    </w:p>
    <w:p w:rsidR="002D3625" w:rsidRDefault="002D3625" w:rsidP="002D3625">
      <w:pPr>
        <w:tabs>
          <w:tab w:val="left" w:pos="7655"/>
        </w:tabs>
        <w:ind w:right="-1"/>
        <w:rPr>
          <w:b/>
          <w:sz w:val="28"/>
          <w:szCs w:val="28"/>
        </w:rPr>
      </w:pPr>
      <w:r>
        <w:rPr>
          <w:b/>
          <w:sz w:val="28"/>
          <w:szCs w:val="28"/>
        </w:rPr>
        <w:t>НАКАЗУЮ:</w:t>
      </w:r>
    </w:p>
    <w:p w:rsidR="002D3625" w:rsidRDefault="002D3625" w:rsidP="002D3625">
      <w:pPr>
        <w:tabs>
          <w:tab w:val="left" w:pos="4395"/>
          <w:tab w:val="left" w:pos="7655"/>
        </w:tabs>
        <w:ind w:right="5669" w:firstLine="426"/>
        <w:jc w:val="both"/>
        <w:rPr>
          <w:sz w:val="28"/>
          <w:szCs w:val="28"/>
        </w:rPr>
      </w:pPr>
    </w:p>
    <w:p w:rsidR="002D3625" w:rsidRDefault="002D3625" w:rsidP="002D3625">
      <w:pPr>
        <w:ind w:right="-1" w:firstLine="709"/>
        <w:jc w:val="both"/>
        <w:rPr>
          <w:sz w:val="28"/>
          <w:szCs w:val="28"/>
        </w:rPr>
      </w:pPr>
      <w:r>
        <w:rPr>
          <w:sz w:val="28"/>
          <w:szCs w:val="28"/>
        </w:rPr>
        <w:t>1. Внести зміни до складу Постійно діючої комісії зі списання майна Держгеонадр та розгляду питань стосовно списання майна підприємств, установ та організацій, що належать до сфери управління Держгеонадр, затвердженої наказом від 29.02.2012 № 72, а саме:</w:t>
      </w:r>
    </w:p>
    <w:p w:rsidR="002D3625" w:rsidRDefault="002D3625" w:rsidP="002D3625">
      <w:pPr>
        <w:ind w:right="-1" w:firstLine="709"/>
        <w:jc w:val="both"/>
        <w:rPr>
          <w:sz w:val="28"/>
          <w:szCs w:val="28"/>
        </w:rPr>
      </w:pPr>
      <w:r>
        <w:rPr>
          <w:sz w:val="28"/>
          <w:szCs w:val="28"/>
        </w:rPr>
        <w:t>1.1. Ввести до складу комісії:</w:t>
      </w:r>
    </w:p>
    <w:p w:rsidR="002D3625" w:rsidRDefault="002D3625" w:rsidP="002D3625">
      <w:pPr>
        <w:ind w:right="-1" w:firstLine="709"/>
        <w:jc w:val="both"/>
        <w:rPr>
          <w:sz w:val="28"/>
          <w:szCs w:val="28"/>
        </w:rPr>
      </w:pPr>
      <w:proofErr w:type="spellStart"/>
      <w:r>
        <w:rPr>
          <w:sz w:val="28"/>
          <w:szCs w:val="28"/>
        </w:rPr>
        <w:t>Бабарика</w:t>
      </w:r>
      <w:proofErr w:type="spellEnd"/>
      <w:r>
        <w:rPr>
          <w:sz w:val="28"/>
          <w:szCs w:val="28"/>
        </w:rPr>
        <w:t xml:space="preserve"> Олександра Анатолійовича – провідного інженера відділу матеріально – технічного забезпечення та управління майном.</w:t>
      </w:r>
    </w:p>
    <w:p w:rsidR="002D3625" w:rsidRDefault="002D3625" w:rsidP="002D3625">
      <w:pPr>
        <w:ind w:right="-1" w:firstLine="709"/>
        <w:jc w:val="both"/>
        <w:rPr>
          <w:sz w:val="28"/>
          <w:szCs w:val="28"/>
        </w:rPr>
      </w:pPr>
      <w:r>
        <w:rPr>
          <w:sz w:val="28"/>
          <w:szCs w:val="28"/>
        </w:rPr>
        <w:t>1.2. Вивести зі складу комісії:</w:t>
      </w:r>
    </w:p>
    <w:p w:rsidR="002D3625" w:rsidRDefault="002D3625" w:rsidP="002D3625">
      <w:pPr>
        <w:ind w:right="-1" w:firstLine="709"/>
        <w:jc w:val="both"/>
        <w:rPr>
          <w:sz w:val="28"/>
          <w:szCs w:val="28"/>
        </w:rPr>
      </w:pPr>
      <w:r>
        <w:rPr>
          <w:sz w:val="28"/>
          <w:szCs w:val="28"/>
        </w:rPr>
        <w:t xml:space="preserve">Куліша Леоніда Анатолійовича – головного спеціаліста відділу матеріально – технічного забезпечення та управління майном. </w:t>
      </w:r>
    </w:p>
    <w:p w:rsidR="002D3625" w:rsidRDefault="002D3625" w:rsidP="002D3625">
      <w:pPr>
        <w:ind w:right="-1" w:firstLine="709"/>
        <w:jc w:val="both"/>
        <w:rPr>
          <w:sz w:val="28"/>
          <w:szCs w:val="28"/>
        </w:rPr>
      </w:pPr>
      <w:r>
        <w:rPr>
          <w:sz w:val="28"/>
          <w:szCs w:val="28"/>
        </w:rPr>
        <w:t xml:space="preserve">2. Визнати таким, що втратив чинність, наказ Держгеонадр від 25.07.2016 № 225 «Про внесення змін до наказу Держгеонадр «Про списання державного майна» від 16.02.2016 № 47. </w:t>
      </w:r>
    </w:p>
    <w:p w:rsidR="002D3625" w:rsidRDefault="002D3625" w:rsidP="002D3625">
      <w:pPr>
        <w:ind w:right="-1" w:firstLine="709"/>
        <w:jc w:val="both"/>
        <w:rPr>
          <w:sz w:val="28"/>
          <w:szCs w:val="28"/>
        </w:rPr>
      </w:pPr>
      <w:r>
        <w:rPr>
          <w:sz w:val="28"/>
          <w:szCs w:val="28"/>
        </w:rPr>
        <w:t>3. Контроль за виконанням цього наказу залишаю за собою.</w:t>
      </w:r>
    </w:p>
    <w:p w:rsidR="002D3625" w:rsidRDefault="002D3625" w:rsidP="002D3625">
      <w:pPr>
        <w:tabs>
          <w:tab w:val="left" w:pos="1985"/>
          <w:tab w:val="left" w:pos="4395"/>
          <w:tab w:val="left" w:pos="7655"/>
        </w:tabs>
        <w:ind w:right="-1"/>
        <w:jc w:val="both"/>
        <w:rPr>
          <w:sz w:val="28"/>
          <w:szCs w:val="28"/>
        </w:rPr>
      </w:pPr>
    </w:p>
    <w:p w:rsidR="002D3625" w:rsidRDefault="002D3625" w:rsidP="002D3625">
      <w:pPr>
        <w:tabs>
          <w:tab w:val="left" w:pos="1985"/>
          <w:tab w:val="left" w:pos="4395"/>
          <w:tab w:val="left" w:pos="7655"/>
        </w:tabs>
        <w:ind w:right="-1"/>
        <w:jc w:val="both"/>
        <w:rPr>
          <w:sz w:val="28"/>
          <w:szCs w:val="28"/>
        </w:rPr>
      </w:pPr>
    </w:p>
    <w:p w:rsidR="002D3625" w:rsidRDefault="002D3625" w:rsidP="002D3625">
      <w:pPr>
        <w:tabs>
          <w:tab w:val="left" w:pos="1985"/>
          <w:tab w:val="left" w:pos="4395"/>
          <w:tab w:val="left" w:pos="7655"/>
        </w:tabs>
        <w:ind w:right="-1"/>
        <w:jc w:val="both"/>
        <w:rPr>
          <w:b/>
          <w:sz w:val="28"/>
          <w:szCs w:val="28"/>
        </w:rPr>
      </w:pPr>
      <w:r>
        <w:rPr>
          <w:b/>
          <w:sz w:val="28"/>
          <w:szCs w:val="28"/>
        </w:rPr>
        <w:t xml:space="preserve">Т.в.о. Голови                                </w:t>
      </w:r>
      <w:r>
        <w:rPr>
          <w:b/>
          <w:sz w:val="28"/>
          <w:szCs w:val="28"/>
        </w:rPr>
        <w:t xml:space="preserve">                             </w:t>
      </w:r>
      <w:r>
        <w:rPr>
          <w:b/>
          <w:sz w:val="28"/>
          <w:szCs w:val="28"/>
        </w:rPr>
        <w:t xml:space="preserve">                        М.О </w:t>
      </w:r>
      <w:proofErr w:type="spellStart"/>
      <w:r>
        <w:rPr>
          <w:b/>
          <w:sz w:val="28"/>
          <w:szCs w:val="28"/>
        </w:rPr>
        <w:t>Бояркін</w:t>
      </w:r>
      <w:proofErr w:type="spellEnd"/>
    </w:p>
    <w:p w:rsidR="002D3625" w:rsidRDefault="002D3625" w:rsidP="002D3625">
      <w:pPr>
        <w:tabs>
          <w:tab w:val="left" w:pos="1985"/>
          <w:tab w:val="left" w:pos="4395"/>
          <w:tab w:val="left" w:pos="7655"/>
        </w:tabs>
        <w:ind w:right="-1"/>
        <w:jc w:val="both"/>
        <w:rPr>
          <w:b/>
          <w:sz w:val="28"/>
          <w:szCs w:val="28"/>
        </w:rPr>
      </w:pPr>
    </w:p>
    <w:tbl>
      <w:tblPr>
        <w:tblW w:w="9495" w:type="dxa"/>
        <w:tblLayout w:type="fixed"/>
        <w:tblLook w:val="04A0" w:firstRow="1" w:lastRow="0" w:firstColumn="1" w:lastColumn="0" w:noHBand="0" w:noVBand="1"/>
      </w:tblPr>
      <w:tblGrid>
        <w:gridCol w:w="5352"/>
        <w:gridCol w:w="1734"/>
        <w:gridCol w:w="2409"/>
      </w:tblGrid>
      <w:tr w:rsidR="002D3625" w:rsidTr="002D3625">
        <w:trPr>
          <w:trHeight w:val="20"/>
        </w:trPr>
        <w:tc>
          <w:tcPr>
            <w:tcW w:w="5352" w:type="dxa"/>
          </w:tcPr>
          <w:p w:rsidR="002D3625" w:rsidRDefault="002D3625">
            <w:pPr>
              <w:tabs>
                <w:tab w:val="left" w:pos="1985"/>
                <w:tab w:val="left" w:pos="4395"/>
                <w:tab w:val="left" w:pos="7655"/>
              </w:tabs>
              <w:ind w:right="-1"/>
              <w:rPr>
                <w:b/>
              </w:rPr>
            </w:pPr>
          </w:p>
        </w:tc>
        <w:tc>
          <w:tcPr>
            <w:tcW w:w="1734" w:type="dxa"/>
          </w:tcPr>
          <w:p w:rsidR="002D3625" w:rsidRDefault="002D3625">
            <w:pPr>
              <w:tabs>
                <w:tab w:val="left" w:pos="1985"/>
                <w:tab w:val="left" w:pos="4395"/>
                <w:tab w:val="left" w:pos="7655"/>
              </w:tabs>
              <w:ind w:right="-1"/>
              <w:rPr>
                <w:b/>
              </w:rPr>
            </w:pPr>
          </w:p>
        </w:tc>
        <w:tc>
          <w:tcPr>
            <w:tcW w:w="2409" w:type="dxa"/>
          </w:tcPr>
          <w:p w:rsidR="002D3625" w:rsidRDefault="002D3625">
            <w:pPr>
              <w:tabs>
                <w:tab w:val="left" w:pos="1985"/>
                <w:tab w:val="left" w:pos="4395"/>
                <w:tab w:val="left" w:pos="7655"/>
              </w:tabs>
              <w:ind w:right="-1"/>
              <w:rPr>
                <w:b/>
              </w:rPr>
            </w:pPr>
          </w:p>
        </w:tc>
      </w:tr>
    </w:tbl>
    <w:p w:rsidR="002D3625" w:rsidRDefault="002D3625" w:rsidP="002D3625">
      <w:pPr>
        <w:tabs>
          <w:tab w:val="left" w:pos="1985"/>
          <w:tab w:val="left" w:pos="4395"/>
          <w:tab w:val="left" w:pos="7655"/>
        </w:tabs>
        <w:ind w:right="-1"/>
        <w:rPr>
          <w:szCs w:val="28"/>
        </w:rPr>
      </w:pPr>
    </w:p>
    <w:p w:rsidR="002D3625" w:rsidRDefault="002D3625" w:rsidP="002D3625">
      <w:pPr>
        <w:ind w:left="5245"/>
        <w:jc w:val="both"/>
      </w:pPr>
      <w:r>
        <w:t>Додаток</w:t>
      </w:r>
    </w:p>
    <w:p w:rsidR="002D3625" w:rsidRDefault="002D3625" w:rsidP="002D3625">
      <w:pPr>
        <w:ind w:left="5245"/>
        <w:jc w:val="both"/>
      </w:pPr>
      <w:r>
        <w:t xml:space="preserve">до наказу Державної служби </w:t>
      </w:r>
    </w:p>
    <w:p w:rsidR="002D3625" w:rsidRDefault="002D3625" w:rsidP="002D3625">
      <w:pPr>
        <w:ind w:left="5245"/>
        <w:jc w:val="both"/>
      </w:pPr>
      <w:r>
        <w:t>геології та надр України</w:t>
      </w:r>
    </w:p>
    <w:p w:rsidR="002D3625" w:rsidRDefault="002D3625" w:rsidP="002D3625">
      <w:pPr>
        <w:ind w:left="5245"/>
        <w:jc w:val="both"/>
      </w:pPr>
      <w:r>
        <w:t>від 23.09.2016 № 332</w:t>
      </w:r>
    </w:p>
    <w:p w:rsidR="002D3625" w:rsidRDefault="002D3625" w:rsidP="002D3625">
      <w:pPr>
        <w:jc w:val="center"/>
        <w:rPr>
          <w:sz w:val="28"/>
          <w:szCs w:val="28"/>
        </w:rPr>
      </w:pPr>
    </w:p>
    <w:p w:rsidR="002D3625" w:rsidRDefault="002D3625" w:rsidP="002D3625">
      <w:pPr>
        <w:jc w:val="center"/>
        <w:rPr>
          <w:sz w:val="28"/>
          <w:szCs w:val="28"/>
        </w:rPr>
      </w:pPr>
    </w:p>
    <w:p w:rsidR="002D3625" w:rsidRDefault="002D3625" w:rsidP="002D3625">
      <w:pPr>
        <w:jc w:val="center"/>
        <w:rPr>
          <w:sz w:val="28"/>
          <w:szCs w:val="28"/>
        </w:rPr>
      </w:pPr>
    </w:p>
    <w:p w:rsidR="002D3625" w:rsidRDefault="002D3625" w:rsidP="002D3625">
      <w:pPr>
        <w:jc w:val="center"/>
        <w:rPr>
          <w:sz w:val="28"/>
          <w:szCs w:val="28"/>
        </w:rPr>
      </w:pPr>
      <w:r>
        <w:rPr>
          <w:sz w:val="28"/>
          <w:szCs w:val="28"/>
        </w:rPr>
        <w:t>Склад</w:t>
      </w:r>
    </w:p>
    <w:p w:rsidR="002D3625" w:rsidRDefault="002D3625" w:rsidP="002D3625">
      <w:pPr>
        <w:jc w:val="center"/>
        <w:rPr>
          <w:sz w:val="28"/>
          <w:szCs w:val="28"/>
        </w:rPr>
      </w:pPr>
      <w:r>
        <w:rPr>
          <w:sz w:val="28"/>
          <w:szCs w:val="28"/>
        </w:rPr>
        <w:t xml:space="preserve">постійно діючої комісії </w:t>
      </w:r>
    </w:p>
    <w:p w:rsidR="002D3625" w:rsidRDefault="002D3625" w:rsidP="002D3625">
      <w:pPr>
        <w:jc w:val="center"/>
        <w:rPr>
          <w:sz w:val="28"/>
          <w:szCs w:val="28"/>
        </w:rPr>
      </w:pPr>
      <w:r>
        <w:rPr>
          <w:sz w:val="28"/>
          <w:szCs w:val="28"/>
        </w:rPr>
        <w:t xml:space="preserve">зі списання майна Держгеонадр </w:t>
      </w:r>
    </w:p>
    <w:p w:rsidR="002D3625" w:rsidRDefault="002D3625" w:rsidP="002D3625">
      <w:pPr>
        <w:jc w:val="center"/>
        <w:rPr>
          <w:sz w:val="28"/>
          <w:szCs w:val="28"/>
        </w:rPr>
      </w:pPr>
      <w:r>
        <w:rPr>
          <w:sz w:val="28"/>
          <w:szCs w:val="28"/>
        </w:rPr>
        <w:t xml:space="preserve">та розгляду питань стосовно списання майна </w:t>
      </w:r>
    </w:p>
    <w:p w:rsidR="002D3625" w:rsidRDefault="002D3625" w:rsidP="002D3625">
      <w:pPr>
        <w:jc w:val="center"/>
        <w:rPr>
          <w:sz w:val="28"/>
          <w:szCs w:val="28"/>
        </w:rPr>
      </w:pPr>
      <w:r>
        <w:rPr>
          <w:sz w:val="28"/>
          <w:szCs w:val="28"/>
        </w:rPr>
        <w:t xml:space="preserve">підприємств, установ та організацій, що належать </w:t>
      </w:r>
    </w:p>
    <w:p w:rsidR="002D3625" w:rsidRDefault="002D3625" w:rsidP="002D3625">
      <w:pPr>
        <w:jc w:val="center"/>
        <w:rPr>
          <w:sz w:val="28"/>
          <w:szCs w:val="28"/>
        </w:rPr>
      </w:pPr>
      <w:r>
        <w:rPr>
          <w:sz w:val="28"/>
          <w:szCs w:val="28"/>
        </w:rPr>
        <w:t>до сфери управління Держгеонадр</w:t>
      </w:r>
    </w:p>
    <w:p w:rsidR="002D3625" w:rsidRDefault="002D3625" w:rsidP="002D3625">
      <w:pPr>
        <w:jc w:val="center"/>
        <w:rPr>
          <w:sz w:val="28"/>
          <w:szCs w:val="28"/>
        </w:rPr>
      </w:pPr>
    </w:p>
    <w:p w:rsidR="002D3625" w:rsidRDefault="002D3625" w:rsidP="002D3625">
      <w:pPr>
        <w:jc w:val="center"/>
        <w:rPr>
          <w:sz w:val="28"/>
          <w:szCs w:val="28"/>
        </w:rPr>
      </w:pPr>
    </w:p>
    <w:tbl>
      <w:tblPr>
        <w:tblW w:w="10035" w:type="dxa"/>
        <w:tblLayout w:type="fixed"/>
        <w:tblLook w:val="04A0" w:firstRow="1" w:lastRow="0" w:firstColumn="1" w:lastColumn="0" w:noHBand="0" w:noVBand="1"/>
      </w:tblPr>
      <w:tblGrid>
        <w:gridCol w:w="3087"/>
        <w:gridCol w:w="6948"/>
      </w:tblGrid>
      <w:tr w:rsidR="002D3625" w:rsidTr="002D3625">
        <w:trPr>
          <w:trHeight w:val="20"/>
        </w:trPr>
        <w:tc>
          <w:tcPr>
            <w:tcW w:w="3085" w:type="dxa"/>
          </w:tcPr>
          <w:p w:rsidR="002D3625" w:rsidRDefault="002D3625">
            <w:pPr>
              <w:tabs>
                <w:tab w:val="left" w:pos="1985"/>
                <w:tab w:val="left" w:pos="4395"/>
                <w:tab w:val="left" w:pos="7655"/>
              </w:tabs>
              <w:ind w:right="-1"/>
              <w:jc w:val="right"/>
              <w:rPr>
                <w:szCs w:val="28"/>
              </w:rPr>
            </w:pPr>
            <w:r>
              <w:rPr>
                <w:szCs w:val="28"/>
              </w:rPr>
              <w:t>Голова комісії:</w:t>
            </w:r>
          </w:p>
          <w:p w:rsidR="002D3625" w:rsidRDefault="002D3625">
            <w:pPr>
              <w:tabs>
                <w:tab w:val="left" w:pos="1985"/>
                <w:tab w:val="left" w:pos="4395"/>
                <w:tab w:val="left" w:pos="7655"/>
              </w:tabs>
              <w:ind w:right="-1"/>
              <w:rPr>
                <w:szCs w:val="28"/>
              </w:rPr>
            </w:pPr>
          </w:p>
        </w:tc>
        <w:tc>
          <w:tcPr>
            <w:tcW w:w="6945" w:type="dxa"/>
          </w:tcPr>
          <w:p w:rsidR="002D3625" w:rsidRDefault="002D3625">
            <w:pPr>
              <w:rPr>
                <w:szCs w:val="28"/>
              </w:rPr>
            </w:pPr>
          </w:p>
        </w:tc>
      </w:tr>
      <w:tr w:rsidR="002D3625" w:rsidTr="002D3625">
        <w:trPr>
          <w:trHeight w:val="20"/>
        </w:trPr>
        <w:tc>
          <w:tcPr>
            <w:tcW w:w="3085" w:type="dxa"/>
            <w:hideMark/>
          </w:tcPr>
          <w:p w:rsidR="002D3625" w:rsidRDefault="002D3625">
            <w:pPr>
              <w:tabs>
                <w:tab w:val="left" w:pos="1985"/>
                <w:tab w:val="left" w:pos="4395"/>
                <w:tab w:val="left" w:pos="7655"/>
              </w:tabs>
              <w:ind w:right="-1"/>
              <w:rPr>
                <w:szCs w:val="28"/>
              </w:rPr>
            </w:pPr>
            <w:r>
              <w:rPr>
                <w:szCs w:val="28"/>
              </w:rPr>
              <w:t xml:space="preserve">БОЯРКІН </w:t>
            </w:r>
          </w:p>
          <w:p w:rsidR="002D3625" w:rsidRDefault="002D3625">
            <w:pPr>
              <w:tabs>
                <w:tab w:val="left" w:pos="1985"/>
                <w:tab w:val="left" w:pos="4395"/>
                <w:tab w:val="left" w:pos="7655"/>
              </w:tabs>
              <w:ind w:right="-1"/>
              <w:rPr>
                <w:szCs w:val="28"/>
              </w:rPr>
            </w:pPr>
            <w:r>
              <w:rPr>
                <w:szCs w:val="28"/>
              </w:rPr>
              <w:t>Микола Олексійович</w:t>
            </w:r>
          </w:p>
        </w:tc>
        <w:tc>
          <w:tcPr>
            <w:tcW w:w="6945" w:type="dxa"/>
          </w:tcPr>
          <w:p w:rsidR="002D3625" w:rsidRDefault="002D3625">
            <w:pPr>
              <w:jc w:val="both"/>
              <w:rPr>
                <w:szCs w:val="28"/>
              </w:rPr>
            </w:pPr>
          </w:p>
          <w:p w:rsidR="002D3625" w:rsidRDefault="002D3625">
            <w:pPr>
              <w:jc w:val="both"/>
              <w:rPr>
                <w:szCs w:val="28"/>
              </w:rPr>
            </w:pPr>
            <w:r>
              <w:rPr>
                <w:szCs w:val="28"/>
              </w:rPr>
              <w:t>Т.в.о. Голови Державної служби геології та надр України</w:t>
            </w:r>
          </w:p>
        </w:tc>
      </w:tr>
      <w:tr w:rsidR="002D3625" w:rsidTr="002D3625">
        <w:trPr>
          <w:trHeight w:val="20"/>
        </w:trPr>
        <w:tc>
          <w:tcPr>
            <w:tcW w:w="3085" w:type="dxa"/>
          </w:tcPr>
          <w:p w:rsidR="002D3625" w:rsidRDefault="002D3625">
            <w:pPr>
              <w:tabs>
                <w:tab w:val="left" w:pos="1985"/>
                <w:tab w:val="left" w:pos="4395"/>
                <w:tab w:val="left" w:pos="7655"/>
              </w:tabs>
              <w:ind w:right="-1"/>
              <w:rPr>
                <w:szCs w:val="28"/>
              </w:rPr>
            </w:pPr>
          </w:p>
          <w:p w:rsidR="002D3625" w:rsidRDefault="002D3625">
            <w:pPr>
              <w:tabs>
                <w:tab w:val="left" w:pos="1985"/>
                <w:tab w:val="left" w:pos="4395"/>
                <w:tab w:val="left" w:pos="7655"/>
              </w:tabs>
              <w:ind w:right="-1"/>
              <w:jc w:val="right"/>
              <w:rPr>
                <w:szCs w:val="28"/>
              </w:rPr>
            </w:pPr>
            <w:r>
              <w:rPr>
                <w:szCs w:val="28"/>
              </w:rPr>
              <w:t>Члени комісії:</w:t>
            </w:r>
          </w:p>
          <w:p w:rsidR="002D3625" w:rsidRDefault="002D3625">
            <w:pPr>
              <w:tabs>
                <w:tab w:val="left" w:pos="1985"/>
                <w:tab w:val="left" w:pos="4395"/>
                <w:tab w:val="left" w:pos="7655"/>
              </w:tabs>
              <w:ind w:right="-1"/>
              <w:jc w:val="right"/>
              <w:rPr>
                <w:szCs w:val="28"/>
              </w:rPr>
            </w:pPr>
          </w:p>
        </w:tc>
        <w:tc>
          <w:tcPr>
            <w:tcW w:w="6945" w:type="dxa"/>
          </w:tcPr>
          <w:p w:rsidR="002D3625" w:rsidRDefault="002D3625">
            <w:pPr>
              <w:rPr>
                <w:szCs w:val="28"/>
              </w:rPr>
            </w:pPr>
          </w:p>
        </w:tc>
      </w:tr>
      <w:tr w:rsidR="002D3625" w:rsidTr="002D3625">
        <w:trPr>
          <w:trHeight w:val="20"/>
        </w:trPr>
        <w:tc>
          <w:tcPr>
            <w:tcW w:w="3085" w:type="dxa"/>
            <w:hideMark/>
          </w:tcPr>
          <w:p w:rsidR="002D3625" w:rsidRDefault="002D3625">
            <w:pPr>
              <w:tabs>
                <w:tab w:val="left" w:pos="1985"/>
                <w:tab w:val="left" w:pos="4395"/>
                <w:tab w:val="left" w:pos="7655"/>
              </w:tabs>
              <w:ind w:right="-1"/>
              <w:rPr>
                <w:szCs w:val="28"/>
              </w:rPr>
            </w:pPr>
            <w:r>
              <w:rPr>
                <w:szCs w:val="28"/>
              </w:rPr>
              <w:t>КОНОВАЛЕНКО</w:t>
            </w:r>
          </w:p>
          <w:p w:rsidR="002D3625" w:rsidRDefault="002D3625">
            <w:pPr>
              <w:tabs>
                <w:tab w:val="left" w:pos="1985"/>
                <w:tab w:val="left" w:pos="4395"/>
                <w:tab w:val="left" w:pos="7655"/>
              </w:tabs>
              <w:ind w:right="-1"/>
              <w:rPr>
                <w:szCs w:val="28"/>
              </w:rPr>
            </w:pPr>
            <w:r>
              <w:rPr>
                <w:szCs w:val="28"/>
              </w:rPr>
              <w:t>Людмила Іванівна</w:t>
            </w:r>
          </w:p>
        </w:tc>
        <w:tc>
          <w:tcPr>
            <w:tcW w:w="6945" w:type="dxa"/>
          </w:tcPr>
          <w:p w:rsidR="002D3625" w:rsidRDefault="002D3625">
            <w:pPr>
              <w:tabs>
                <w:tab w:val="left" w:pos="1985"/>
                <w:tab w:val="left" w:pos="4395"/>
                <w:tab w:val="left" w:pos="7655"/>
              </w:tabs>
              <w:ind w:right="-1"/>
              <w:jc w:val="both"/>
              <w:rPr>
                <w:szCs w:val="28"/>
              </w:rPr>
            </w:pPr>
            <w:r>
              <w:rPr>
                <w:szCs w:val="28"/>
              </w:rPr>
              <w:t>Начальник Управління економіки та бухгалтерського обліку - головний бухгалтер</w:t>
            </w:r>
          </w:p>
          <w:p w:rsidR="002D3625" w:rsidRDefault="002D3625">
            <w:pPr>
              <w:tabs>
                <w:tab w:val="left" w:pos="1985"/>
                <w:tab w:val="left" w:pos="4395"/>
                <w:tab w:val="left" w:pos="7655"/>
              </w:tabs>
              <w:ind w:right="-1"/>
              <w:rPr>
                <w:szCs w:val="28"/>
              </w:rPr>
            </w:pPr>
          </w:p>
        </w:tc>
      </w:tr>
      <w:tr w:rsidR="002D3625" w:rsidTr="002D3625">
        <w:trPr>
          <w:trHeight w:val="20"/>
        </w:trPr>
        <w:tc>
          <w:tcPr>
            <w:tcW w:w="3085" w:type="dxa"/>
            <w:hideMark/>
          </w:tcPr>
          <w:p w:rsidR="002D3625" w:rsidRDefault="002D3625">
            <w:pPr>
              <w:tabs>
                <w:tab w:val="left" w:pos="1985"/>
                <w:tab w:val="left" w:pos="4395"/>
                <w:tab w:val="left" w:pos="7655"/>
              </w:tabs>
              <w:ind w:right="-1"/>
              <w:rPr>
                <w:szCs w:val="28"/>
              </w:rPr>
            </w:pPr>
            <w:r>
              <w:rPr>
                <w:szCs w:val="28"/>
              </w:rPr>
              <w:t>БАБЕНКО</w:t>
            </w:r>
          </w:p>
          <w:p w:rsidR="002D3625" w:rsidRDefault="002D3625">
            <w:pPr>
              <w:tabs>
                <w:tab w:val="left" w:pos="1985"/>
                <w:tab w:val="left" w:pos="4395"/>
                <w:tab w:val="left" w:pos="7655"/>
              </w:tabs>
              <w:ind w:right="-1"/>
              <w:rPr>
                <w:szCs w:val="28"/>
              </w:rPr>
            </w:pPr>
            <w:r>
              <w:rPr>
                <w:szCs w:val="28"/>
              </w:rPr>
              <w:t>Лариса Олександрівна</w:t>
            </w:r>
          </w:p>
        </w:tc>
        <w:tc>
          <w:tcPr>
            <w:tcW w:w="6945" w:type="dxa"/>
          </w:tcPr>
          <w:p w:rsidR="002D3625" w:rsidRDefault="002D3625">
            <w:pPr>
              <w:jc w:val="both"/>
            </w:pPr>
            <w:proofErr w:type="spellStart"/>
            <w:r>
              <w:t>В.о</w:t>
            </w:r>
            <w:proofErr w:type="spellEnd"/>
            <w:r>
              <w:t>. начальника Відділу матеріально-технічного забезпечення та управління майном Департаменту організаційно-аналітичної роботи та управління персоналом</w:t>
            </w:r>
          </w:p>
          <w:p w:rsidR="002D3625" w:rsidRDefault="002D3625">
            <w:pPr>
              <w:rPr>
                <w:szCs w:val="28"/>
              </w:rPr>
            </w:pPr>
          </w:p>
        </w:tc>
      </w:tr>
      <w:tr w:rsidR="002D3625" w:rsidRPr="002D3625" w:rsidTr="002D3625">
        <w:trPr>
          <w:trHeight w:val="20"/>
        </w:trPr>
        <w:tc>
          <w:tcPr>
            <w:tcW w:w="3085" w:type="dxa"/>
            <w:hideMark/>
          </w:tcPr>
          <w:p w:rsidR="002D3625" w:rsidRDefault="002D3625">
            <w:pPr>
              <w:tabs>
                <w:tab w:val="left" w:pos="1985"/>
                <w:tab w:val="left" w:pos="4395"/>
                <w:tab w:val="left" w:pos="7655"/>
              </w:tabs>
              <w:ind w:right="-1"/>
              <w:rPr>
                <w:szCs w:val="28"/>
              </w:rPr>
            </w:pPr>
            <w:r>
              <w:rPr>
                <w:szCs w:val="28"/>
              </w:rPr>
              <w:t>РИБАЛЬЧЕНКО</w:t>
            </w:r>
          </w:p>
          <w:p w:rsidR="002D3625" w:rsidRDefault="002D3625">
            <w:pPr>
              <w:tabs>
                <w:tab w:val="left" w:pos="1985"/>
                <w:tab w:val="left" w:pos="4395"/>
                <w:tab w:val="left" w:pos="7655"/>
              </w:tabs>
              <w:ind w:right="-1"/>
              <w:rPr>
                <w:szCs w:val="28"/>
              </w:rPr>
            </w:pPr>
            <w:r>
              <w:rPr>
                <w:szCs w:val="28"/>
              </w:rPr>
              <w:t>Тетяна Вікторівна</w:t>
            </w:r>
          </w:p>
        </w:tc>
        <w:tc>
          <w:tcPr>
            <w:tcW w:w="6945" w:type="dxa"/>
          </w:tcPr>
          <w:p w:rsidR="002D3625" w:rsidRDefault="002D3625">
            <w:pPr>
              <w:jc w:val="both"/>
              <w:rPr>
                <w:szCs w:val="28"/>
              </w:rPr>
            </w:pPr>
            <w:r>
              <w:rPr>
                <w:szCs w:val="28"/>
              </w:rPr>
              <w:t>Головний спеціаліст Відділу оплати праці та бухгалтерського обліку Управління економіки та бухгалтерського обліку</w:t>
            </w:r>
          </w:p>
          <w:p w:rsidR="002D3625" w:rsidRDefault="002D3625">
            <w:pPr>
              <w:rPr>
                <w:szCs w:val="28"/>
              </w:rPr>
            </w:pPr>
          </w:p>
        </w:tc>
      </w:tr>
      <w:tr w:rsidR="002D3625" w:rsidTr="002D3625">
        <w:trPr>
          <w:trHeight w:val="20"/>
        </w:trPr>
        <w:tc>
          <w:tcPr>
            <w:tcW w:w="3085" w:type="dxa"/>
          </w:tcPr>
          <w:p w:rsidR="002D3625" w:rsidRDefault="002D3625">
            <w:pPr>
              <w:tabs>
                <w:tab w:val="left" w:pos="1985"/>
                <w:tab w:val="left" w:pos="4395"/>
                <w:tab w:val="left" w:pos="7655"/>
              </w:tabs>
              <w:ind w:right="-1"/>
            </w:pPr>
            <w:r>
              <w:t>БАБАРИКО</w:t>
            </w:r>
          </w:p>
          <w:p w:rsidR="002D3625" w:rsidRDefault="002D3625">
            <w:pPr>
              <w:tabs>
                <w:tab w:val="left" w:pos="2216"/>
                <w:tab w:val="left" w:pos="4395"/>
                <w:tab w:val="left" w:pos="7655"/>
              </w:tabs>
              <w:ind w:right="-1"/>
            </w:pPr>
            <w:r>
              <w:t>Олександр Анатолійович</w:t>
            </w:r>
          </w:p>
          <w:p w:rsidR="002D3625" w:rsidRDefault="002D3625">
            <w:pPr>
              <w:tabs>
                <w:tab w:val="left" w:pos="1985"/>
                <w:tab w:val="left" w:pos="4395"/>
                <w:tab w:val="left" w:pos="7655"/>
              </w:tabs>
              <w:ind w:right="-1"/>
              <w:rPr>
                <w:szCs w:val="28"/>
              </w:rPr>
            </w:pPr>
          </w:p>
        </w:tc>
        <w:tc>
          <w:tcPr>
            <w:tcW w:w="6945" w:type="dxa"/>
          </w:tcPr>
          <w:p w:rsidR="002D3625" w:rsidRDefault="002D3625">
            <w:pPr>
              <w:jc w:val="both"/>
            </w:pPr>
            <w:r>
              <w:t>Провідний інженер Відділу матеріально-технічного забезпечення та управління майном Департаменту організаційно-аналітичної роботи та управління персоналом</w:t>
            </w:r>
          </w:p>
          <w:p w:rsidR="002D3625" w:rsidRDefault="002D3625">
            <w:pPr>
              <w:jc w:val="both"/>
            </w:pPr>
          </w:p>
        </w:tc>
      </w:tr>
      <w:tr w:rsidR="002D3625" w:rsidTr="002D3625">
        <w:trPr>
          <w:trHeight w:val="20"/>
        </w:trPr>
        <w:tc>
          <w:tcPr>
            <w:tcW w:w="3085" w:type="dxa"/>
            <w:hideMark/>
          </w:tcPr>
          <w:p w:rsidR="002D3625" w:rsidRDefault="002D3625">
            <w:pPr>
              <w:tabs>
                <w:tab w:val="left" w:pos="1985"/>
                <w:tab w:val="left" w:pos="4395"/>
                <w:tab w:val="left" w:pos="7655"/>
              </w:tabs>
              <w:ind w:right="-1"/>
              <w:rPr>
                <w:szCs w:val="28"/>
              </w:rPr>
            </w:pPr>
            <w:r>
              <w:rPr>
                <w:szCs w:val="28"/>
              </w:rPr>
              <w:t>ДОВЖЕНКО</w:t>
            </w:r>
          </w:p>
          <w:p w:rsidR="002D3625" w:rsidRDefault="002D3625">
            <w:pPr>
              <w:tabs>
                <w:tab w:val="left" w:pos="1985"/>
                <w:tab w:val="left" w:pos="4395"/>
                <w:tab w:val="left" w:pos="7655"/>
              </w:tabs>
              <w:ind w:right="-1"/>
              <w:rPr>
                <w:szCs w:val="28"/>
              </w:rPr>
            </w:pPr>
            <w:r>
              <w:rPr>
                <w:szCs w:val="28"/>
              </w:rPr>
              <w:t>Віта Анатоліївна</w:t>
            </w:r>
          </w:p>
        </w:tc>
        <w:tc>
          <w:tcPr>
            <w:tcW w:w="6945" w:type="dxa"/>
          </w:tcPr>
          <w:p w:rsidR="002D3625" w:rsidRDefault="002D3625">
            <w:pPr>
              <w:tabs>
                <w:tab w:val="left" w:pos="1985"/>
                <w:tab w:val="left" w:pos="4395"/>
                <w:tab w:val="left" w:pos="7655"/>
              </w:tabs>
              <w:ind w:right="-1"/>
              <w:jc w:val="both"/>
              <w:rPr>
                <w:szCs w:val="28"/>
              </w:rPr>
            </w:pPr>
            <w:r>
              <w:rPr>
                <w:szCs w:val="28"/>
              </w:rPr>
              <w:t>Головний спеціаліст Відділу правової роботи Юридичного управління</w:t>
            </w:r>
          </w:p>
          <w:p w:rsidR="002D3625" w:rsidRDefault="002D3625">
            <w:pPr>
              <w:tabs>
                <w:tab w:val="left" w:pos="1985"/>
                <w:tab w:val="left" w:pos="4395"/>
                <w:tab w:val="left" w:pos="7655"/>
              </w:tabs>
              <w:ind w:right="-1"/>
              <w:rPr>
                <w:szCs w:val="28"/>
              </w:rPr>
            </w:pPr>
          </w:p>
        </w:tc>
      </w:tr>
    </w:tbl>
    <w:p w:rsidR="00803368" w:rsidRPr="002D3625" w:rsidRDefault="00803368">
      <w:pPr>
        <w:rPr>
          <w:lang w:val="ru-RU"/>
        </w:rPr>
      </w:pPr>
    </w:p>
    <w:sectPr w:rsidR="00803368" w:rsidRPr="002D3625" w:rsidSect="002D362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AC"/>
    <w:rsid w:val="002D3625"/>
    <w:rsid w:val="006E59AC"/>
    <w:rsid w:val="0080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25"/>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semiHidden/>
    <w:unhideWhenUsed/>
    <w:qFormat/>
    <w:rsid w:val="002D3625"/>
    <w:pPr>
      <w:keepNext/>
      <w:keepLines/>
      <w:spacing w:before="200"/>
      <w:jc w:val="both"/>
      <w:outlineLvl w:val="2"/>
    </w:pPr>
    <w:rPr>
      <w:rFonts w:ascii="Calibri Light" w:hAnsi="Calibri Light"/>
      <w:b/>
      <w:bCs/>
      <w:color w:val="5B9BD5"/>
      <w:sz w:val="28"/>
      <w:szCs w:val="28"/>
      <w:lang w:eastAsia="en-US"/>
    </w:rPr>
  </w:style>
  <w:style w:type="paragraph" w:styleId="4">
    <w:name w:val="heading 4"/>
    <w:basedOn w:val="a"/>
    <w:next w:val="a"/>
    <w:link w:val="40"/>
    <w:semiHidden/>
    <w:unhideWhenUsed/>
    <w:qFormat/>
    <w:rsid w:val="002D3625"/>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D3625"/>
    <w:rPr>
      <w:rFonts w:ascii="Calibri Light" w:eastAsia="Times New Roman" w:hAnsi="Calibri Light" w:cs="Times New Roman"/>
      <w:b/>
      <w:bCs/>
      <w:color w:val="5B9BD5"/>
      <w:sz w:val="28"/>
      <w:szCs w:val="28"/>
      <w:lang w:val="uk-UA"/>
    </w:rPr>
  </w:style>
  <w:style w:type="character" w:customStyle="1" w:styleId="40">
    <w:name w:val="Заголовок 4 Знак"/>
    <w:basedOn w:val="a0"/>
    <w:link w:val="4"/>
    <w:semiHidden/>
    <w:rsid w:val="002D362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2D3625"/>
    <w:rPr>
      <w:sz w:val="20"/>
      <w:szCs w:val="20"/>
    </w:rPr>
  </w:style>
  <w:style w:type="character" w:customStyle="1" w:styleId="a4">
    <w:name w:val="Текст сноски Знак"/>
    <w:basedOn w:val="a0"/>
    <w:link w:val="a3"/>
    <w:semiHidden/>
    <w:rsid w:val="002D3625"/>
    <w:rPr>
      <w:rFonts w:ascii="Times New Roman" w:eastAsia="Times New Roman" w:hAnsi="Times New Roman" w:cs="Times New Roman"/>
      <w:sz w:val="20"/>
      <w:szCs w:val="20"/>
      <w:lang w:val="uk-UA" w:eastAsia="ru-RU"/>
    </w:rPr>
  </w:style>
  <w:style w:type="paragraph" w:customStyle="1" w:styleId="TimesNewRoman">
    <w:name w:val="Стиль Центровка + Times New Roman"/>
    <w:basedOn w:val="a"/>
    <w:rsid w:val="002D3625"/>
    <w:pPr>
      <w:suppressAutoHyphens/>
      <w:spacing w:before="120"/>
      <w:jc w:val="center"/>
    </w:pPr>
    <w:rPr>
      <w:b/>
      <w:bCs/>
      <w:sz w:val="28"/>
      <w:szCs w:val="28"/>
    </w:rPr>
  </w:style>
  <w:style w:type="paragraph" w:styleId="a5">
    <w:name w:val="Balloon Text"/>
    <w:basedOn w:val="a"/>
    <w:link w:val="a6"/>
    <w:uiPriority w:val="99"/>
    <w:semiHidden/>
    <w:unhideWhenUsed/>
    <w:rsid w:val="002D3625"/>
    <w:rPr>
      <w:rFonts w:ascii="Tahoma" w:hAnsi="Tahoma" w:cs="Tahoma"/>
      <w:sz w:val="16"/>
      <w:szCs w:val="16"/>
    </w:rPr>
  </w:style>
  <w:style w:type="character" w:customStyle="1" w:styleId="a6">
    <w:name w:val="Текст выноски Знак"/>
    <w:basedOn w:val="a0"/>
    <w:link w:val="a5"/>
    <w:uiPriority w:val="99"/>
    <w:semiHidden/>
    <w:rsid w:val="002D3625"/>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25"/>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semiHidden/>
    <w:unhideWhenUsed/>
    <w:qFormat/>
    <w:rsid w:val="002D3625"/>
    <w:pPr>
      <w:keepNext/>
      <w:keepLines/>
      <w:spacing w:before="200"/>
      <w:jc w:val="both"/>
      <w:outlineLvl w:val="2"/>
    </w:pPr>
    <w:rPr>
      <w:rFonts w:ascii="Calibri Light" w:hAnsi="Calibri Light"/>
      <w:b/>
      <w:bCs/>
      <w:color w:val="5B9BD5"/>
      <w:sz w:val="28"/>
      <w:szCs w:val="28"/>
      <w:lang w:eastAsia="en-US"/>
    </w:rPr>
  </w:style>
  <w:style w:type="paragraph" w:styleId="4">
    <w:name w:val="heading 4"/>
    <w:basedOn w:val="a"/>
    <w:next w:val="a"/>
    <w:link w:val="40"/>
    <w:semiHidden/>
    <w:unhideWhenUsed/>
    <w:qFormat/>
    <w:rsid w:val="002D3625"/>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D3625"/>
    <w:rPr>
      <w:rFonts w:ascii="Calibri Light" w:eastAsia="Times New Roman" w:hAnsi="Calibri Light" w:cs="Times New Roman"/>
      <w:b/>
      <w:bCs/>
      <w:color w:val="5B9BD5"/>
      <w:sz w:val="28"/>
      <w:szCs w:val="28"/>
      <w:lang w:val="uk-UA"/>
    </w:rPr>
  </w:style>
  <w:style w:type="character" w:customStyle="1" w:styleId="40">
    <w:name w:val="Заголовок 4 Знак"/>
    <w:basedOn w:val="a0"/>
    <w:link w:val="4"/>
    <w:semiHidden/>
    <w:rsid w:val="002D362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2D3625"/>
    <w:rPr>
      <w:sz w:val="20"/>
      <w:szCs w:val="20"/>
    </w:rPr>
  </w:style>
  <w:style w:type="character" w:customStyle="1" w:styleId="a4">
    <w:name w:val="Текст сноски Знак"/>
    <w:basedOn w:val="a0"/>
    <w:link w:val="a3"/>
    <w:semiHidden/>
    <w:rsid w:val="002D3625"/>
    <w:rPr>
      <w:rFonts w:ascii="Times New Roman" w:eastAsia="Times New Roman" w:hAnsi="Times New Roman" w:cs="Times New Roman"/>
      <w:sz w:val="20"/>
      <w:szCs w:val="20"/>
      <w:lang w:val="uk-UA" w:eastAsia="ru-RU"/>
    </w:rPr>
  </w:style>
  <w:style w:type="paragraph" w:customStyle="1" w:styleId="TimesNewRoman">
    <w:name w:val="Стиль Центровка + Times New Roman"/>
    <w:basedOn w:val="a"/>
    <w:rsid w:val="002D3625"/>
    <w:pPr>
      <w:suppressAutoHyphens/>
      <w:spacing w:before="120"/>
      <w:jc w:val="center"/>
    </w:pPr>
    <w:rPr>
      <w:b/>
      <w:bCs/>
      <w:sz w:val="28"/>
      <w:szCs w:val="28"/>
    </w:rPr>
  </w:style>
  <w:style w:type="paragraph" w:styleId="a5">
    <w:name w:val="Balloon Text"/>
    <w:basedOn w:val="a"/>
    <w:link w:val="a6"/>
    <w:uiPriority w:val="99"/>
    <w:semiHidden/>
    <w:unhideWhenUsed/>
    <w:rsid w:val="002D3625"/>
    <w:rPr>
      <w:rFonts w:ascii="Tahoma" w:hAnsi="Tahoma" w:cs="Tahoma"/>
      <w:sz w:val="16"/>
      <w:szCs w:val="16"/>
    </w:rPr>
  </w:style>
  <w:style w:type="character" w:customStyle="1" w:styleId="a6">
    <w:name w:val="Текст выноски Знак"/>
    <w:basedOn w:val="a0"/>
    <w:link w:val="a5"/>
    <w:uiPriority w:val="99"/>
    <w:semiHidden/>
    <w:rsid w:val="002D3625"/>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2016-10-04T07:56:00Z</dcterms:created>
  <dcterms:modified xsi:type="dcterms:W3CDTF">2016-10-04T07:57:00Z</dcterms:modified>
</cp:coreProperties>
</file>