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4AE" w:rsidRPr="007B1EF3" w:rsidRDefault="00BA14AE" w:rsidP="00BA14AE">
      <w:pPr>
        <w:spacing w:after="0"/>
        <w:jc w:val="center"/>
        <w:rPr>
          <w:rFonts w:ascii="Times New Roman" w:hAnsi="Times New Roman" w:cs="Times New Roman"/>
          <w:b/>
          <w:sz w:val="28"/>
          <w:szCs w:val="28"/>
        </w:rPr>
      </w:pPr>
      <w:r w:rsidRPr="007B1EF3">
        <w:rPr>
          <w:rFonts w:ascii="Times New Roman" w:hAnsi="Times New Roman" w:cs="Times New Roman"/>
          <w:b/>
          <w:sz w:val="28"/>
          <w:szCs w:val="28"/>
        </w:rPr>
        <w:t>Пояснювальна записка</w:t>
      </w:r>
    </w:p>
    <w:p w:rsidR="00BA14AE" w:rsidRDefault="00BA14AE" w:rsidP="00BA14AE">
      <w:pPr>
        <w:spacing w:after="0"/>
        <w:jc w:val="center"/>
        <w:rPr>
          <w:rFonts w:ascii="Times New Roman" w:hAnsi="Times New Roman" w:cs="Times New Roman"/>
          <w:b/>
          <w:sz w:val="28"/>
          <w:szCs w:val="28"/>
        </w:rPr>
      </w:pPr>
      <w:r w:rsidRPr="007B1EF3">
        <w:rPr>
          <w:rFonts w:ascii="Times New Roman" w:hAnsi="Times New Roman" w:cs="Times New Roman"/>
          <w:b/>
          <w:sz w:val="28"/>
          <w:szCs w:val="28"/>
        </w:rPr>
        <w:t>до проекту За</w:t>
      </w:r>
      <w:r>
        <w:rPr>
          <w:rFonts w:ascii="Times New Roman" w:hAnsi="Times New Roman" w:cs="Times New Roman"/>
          <w:b/>
          <w:sz w:val="28"/>
          <w:szCs w:val="28"/>
        </w:rPr>
        <w:t>кону України «Про внесення змін</w:t>
      </w:r>
      <w:r>
        <w:rPr>
          <w:rFonts w:ascii="Times New Roman" w:hAnsi="Times New Roman" w:cs="Times New Roman"/>
          <w:b/>
          <w:sz w:val="28"/>
          <w:szCs w:val="28"/>
          <w:lang w:val="ru-RU"/>
        </w:rPr>
        <w:t>и</w:t>
      </w:r>
      <w:r w:rsidRPr="007B1EF3">
        <w:rPr>
          <w:rFonts w:ascii="Times New Roman" w:hAnsi="Times New Roman" w:cs="Times New Roman"/>
          <w:b/>
          <w:sz w:val="28"/>
          <w:szCs w:val="28"/>
        </w:rPr>
        <w:t xml:space="preserve"> до статті 21 Кодексу України про надра»</w:t>
      </w:r>
    </w:p>
    <w:p w:rsidR="00BA14AE" w:rsidRPr="00B54116" w:rsidRDefault="00BA14AE" w:rsidP="00BA14AE">
      <w:pPr>
        <w:spacing w:after="0"/>
        <w:jc w:val="center"/>
        <w:rPr>
          <w:rFonts w:ascii="Times New Roman" w:hAnsi="Times New Roman" w:cs="Times New Roman"/>
          <w:b/>
          <w:sz w:val="16"/>
          <w:szCs w:val="16"/>
        </w:rPr>
      </w:pPr>
    </w:p>
    <w:p w:rsidR="00BA14AE" w:rsidRPr="000C5045" w:rsidRDefault="00BA14AE" w:rsidP="00BA14AE">
      <w:pPr>
        <w:numPr>
          <w:ilvl w:val="0"/>
          <w:numId w:val="1"/>
        </w:numPr>
        <w:tabs>
          <w:tab w:val="left" w:pos="1065"/>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b/>
          <w:bCs/>
          <w:sz w:val="28"/>
          <w:szCs w:val="28"/>
          <w:lang w:eastAsia="ru-RU"/>
        </w:rPr>
      </w:pPr>
      <w:r w:rsidRPr="000C5045">
        <w:rPr>
          <w:rFonts w:ascii="Times New Roman" w:eastAsia="Times New Roman" w:hAnsi="Times New Roman" w:cs="Times New Roman"/>
          <w:b/>
          <w:bCs/>
          <w:sz w:val="28"/>
          <w:szCs w:val="28"/>
          <w:lang w:eastAsia="ru-RU"/>
        </w:rPr>
        <w:t xml:space="preserve">Обґрунтування необхідності прийняття </w:t>
      </w:r>
      <w:proofErr w:type="spellStart"/>
      <w:r w:rsidRPr="000C5045">
        <w:rPr>
          <w:rFonts w:ascii="Times New Roman" w:eastAsia="Times New Roman" w:hAnsi="Times New Roman" w:cs="Times New Roman"/>
          <w:b/>
          <w:bCs/>
          <w:sz w:val="28"/>
          <w:szCs w:val="28"/>
          <w:lang w:eastAsia="ru-RU"/>
        </w:rPr>
        <w:t>акта</w:t>
      </w:r>
      <w:proofErr w:type="spellEnd"/>
    </w:p>
    <w:p w:rsidR="00BA14AE" w:rsidRPr="00F7433B" w:rsidRDefault="00BA14AE" w:rsidP="00BA14AE">
      <w:pPr>
        <w:spacing w:after="0" w:line="240" w:lineRule="auto"/>
        <w:ind w:firstLine="709"/>
        <w:jc w:val="both"/>
        <w:rPr>
          <w:rFonts w:ascii="Times New Roman" w:hAnsi="Times New Roman" w:cs="Times New Roman"/>
          <w:sz w:val="28"/>
          <w:szCs w:val="28"/>
        </w:rPr>
      </w:pPr>
      <w:r w:rsidRPr="00DD526B">
        <w:rPr>
          <w:rFonts w:ascii="Times New Roman" w:eastAsia="Times New Roman" w:hAnsi="Times New Roman" w:cs="Times New Roman"/>
          <w:sz w:val="28"/>
          <w:szCs w:val="28"/>
          <w:lang w:eastAsia="ru-RU"/>
        </w:rPr>
        <w:t>Проект Закону України «Про внесення змін</w:t>
      </w:r>
      <w:r w:rsidRPr="004B4D95">
        <w:rPr>
          <w:rFonts w:ascii="Times New Roman" w:eastAsia="Times New Roman" w:hAnsi="Times New Roman" w:cs="Times New Roman"/>
          <w:sz w:val="28"/>
          <w:szCs w:val="28"/>
          <w:lang w:eastAsia="ru-RU"/>
        </w:rPr>
        <w:t>и</w:t>
      </w:r>
      <w:r w:rsidRPr="00DD526B">
        <w:rPr>
          <w:rFonts w:ascii="Times New Roman" w:eastAsia="Times New Roman" w:hAnsi="Times New Roman" w:cs="Times New Roman"/>
          <w:sz w:val="28"/>
          <w:szCs w:val="28"/>
          <w:lang w:eastAsia="ru-RU"/>
        </w:rPr>
        <w:t xml:space="preserve"> до статті 21 Кодексу України про надра» розроблено </w:t>
      </w:r>
      <w:r>
        <w:rPr>
          <w:rFonts w:ascii="Times New Roman" w:hAnsi="Times New Roman" w:cs="Times New Roman"/>
          <w:sz w:val="28"/>
          <w:szCs w:val="28"/>
        </w:rPr>
        <w:t xml:space="preserve">відповідно до вимог Закону України «Про дозвільну систему у сфері господарської діяльності» </w:t>
      </w:r>
      <w:r w:rsidRPr="00DD526B">
        <w:rPr>
          <w:rFonts w:ascii="Times New Roman" w:hAnsi="Times New Roman" w:cs="Times New Roman"/>
          <w:bCs/>
          <w:sz w:val="28"/>
          <w:szCs w:val="28"/>
        </w:rPr>
        <w:t xml:space="preserve">щодо скорочення документів дозвільного характеру шляхом вилучення </w:t>
      </w:r>
      <w:r w:rsidRPr="00DD526B">
        <w:rPr>
          <w:rFonts w:ascii="Times New Roman" w:hAnsi="Times New Roman" w:cs="Times New Roman"/>
          <w:sz w:val="28"/>
          <w:szCs w:val="28"/>
        </w:rPr>
        <w:t xml:space="preserve">обласних, Київської та  Севастопольської міських  державних адміністрацій, </w:t>
      </w:r>
      <w:r w:rsidRPr="00DD526B">
        <w:rPr>
          <w:rFonts w:ascii="Times New Roman" w:hAnsi="Times New Roman" w:cs="Times New Roman"/>
          <w:bCs/>
          <w:sz w:val="28"/>
          <w:szCs w:val="28"/>
        </w:rPr>
        <w:t xml:space="preserve"> Державної санітарно-епідеміологічної служби України з переліку органів, що здійснюють </w:t>
      </w:r>
      <w:r w:rsidRPr="00DD526B">
        <w:rPr>
          <w:rFonts w:ascii="Times New Roman" w:eastAsia="Times New Roman" w:hAnsi="Times New Roman" w:cs="Times New Roman"/>
          <w:sz w:val="28"/>
          <w:szCs w:val="28"/>
          <w:lang w:eastAsia="ru-RU"/>
        </w:rPr>
        <w:t xml:space="preserve">погодження </w:t>
      </w:r>
      <w:r w:rsidRPr="00DD526B">
        <w:rPr>
          <w:rFonts w:ascii="Times New Roman" w:hAnsi="Times New Roman" w:cs="Times New Roman"/>
          <w:color w:val="000000"/>
          <w:sz w:val="28"/>
          <w:szCs w:val="28"/>
        </w:rPr>
        <w:t>надання надр у користування для видобування прісних підземних вод і розробки родовищ торфу. Зазначене вилучення пропонується здійснити з огляду на наступне.</w:t>
      </w:r>
    </w:p>
    <w:p w:rsidR="00BA14AE" w:rsidRPr="00DD526B" w:rsidRDefault="00BA14AE" w:rsidP="00BA14AE">
      <w:pPr>
        <w:spacing w:after="0" w:line="240" w:lineRule="auto"/>
        <w:ind w:firstLine="709"/>
        <w:jc w:val="both"/>
        <w:rPr>
          <w:rFonts w:ascii="Times New Roman" w:hAnsi="Times New Roman"/>
          <w:sz w:val="28"/>
          <w:szCs w:val="28"/>
          <w:lang w:eastAsia="ru-RU"/>
        </w:rPr>
      </w:pPr>
      <w:r w:rsidRPr="00DD526B">
        <w:rPr>
          <w:rFonts w:ascii="Times New Roman" w:hAnsi="Times New Roman"/>
          <w:sz w:val="28"/>
          <w:szCs w:val="28"/>
          <w:lang w:eastAsia="ru-RU"/>
        </w:rPr>
        <w:t>Спеціальні дозволи на користування надрами видаються Державною службою геології та надр України відповідно до статті 16 Кодексу України про надра, в якій зазначається що порядок надання спеціальних дозволів на користування надрами визначається Кабінетом Міністрів України. Постановою Кабінету Міністрів України від 30.05.2011 № 615 затверджено Порядок надання спеціальних дозволів на користування надрами (далі-Порядок).</w:t>
      </w:r>
    </w:p>
    <w:p w:rsidR="00BA14AE" w:rsidRDefault="00BA14AE" w:rsidP="00BA14AE">
      <w:pPr>
        <w:spacing w:after="0" w:line="240" w:lineRule="auto"/>
        <w:ind w:firstLine="709"/>
        <w:jc w:val="both"/>
        <w:rPr>
          <w:rFonts w:ascii="Times New Roman" w:hAnsi="Times New Roman" w:cs="Times New Roman"/>
          <w:sz w:val="28"/>
          <w:szCs w:val="28"/>
        </w:rPr>
      </w:pPr>
      <w:r w:rsidRPr="00DD526B">
        <w:rPr>
          <w:rFonts w:ascii="Times New Roman" w:hAnsi="Times New Roman" w:cs="Times New Roman"/>
          <w:sz w:val="28"/>
          <w:szCs w:val="28"/>
          <w:lang w:eastAsia="ru-RU"/>
        </w:rPr>
        <w:t xml:space="preserve">У цьому Порядку, зокрема, не передбачено наявності погоджувальних функцій у обласних, Київської та Севастопольської міських державних адміністрацій, але натомість передбачено погодження з </w:t>
      </w:r>
      <w:r w:rsidRPr="00DD526B">
        <w:rPr>
          <w:rStyle w:val="rvts0"/>
          <w:rFonts w:ascii="Times New Roman" w:hAnsi="Times New Roman" w:cs="Times New Roman"/>
          <w:sz w:val="28"/>
          <w:szCs w:val="28"/>
        </w:rPr>
        <w:t xml:space="preserve">обласними, Київською і Севастопольською міськими радами, що, по суті, дублює вищезазначене та є аналогічним документом, який на практиці так само дозволяє забезпечити </w:t>
      </w:r>
      <w:r w:rsidRPr="00DD526B">
        <w:rPr>
          <w:rFonts w:ascii="Times New Roman" w:hAnsi="Times New Roman" w:cs="Times New Roman"/>
          <w:sz w:val="28"/>
          <w:szCs w:val="28"/>
        </w:rPr>
        <w:t>при наданні надр у користування дотримання інтересів місцевих громад та органів державної влади, а також вимог законодавства у сфері охорони навколишнього природного середовища, природно-заповідного фонду, водного, земельного законодавства тощо. Тому з огляду на достатність даних, що містяться у погодженнях органів місцевого самоврядування, є потреба у відповідних змінах до статті 21 Кодексу України про надра.</w:t>
      </w:r>
      <w:r>
        <w:rPr>
          <w:rFonts w:ascii="Times New Roman" w:hAnsi="Times New Roman" w:cs="Times New Roman"/>
          <w:sz w:val="28"/>
          <w:szCs w:val="28"/>
        </w:rPr>
        <w:t xml:space="preserve"> </w:t>
      </w:r>
    </w:p>
    <w:p w:rsidR="00BA14AE" w:rsidRPr="00090C44" w:rsidRDefault="00BA14AE" w:rsidP="00BA14AE">
      <w:pPr>
        <w:spacing w:after="0" w:line="240" w:lineRule="auto"/>
        <w:ind w:firstLine="709"/>
        <w:jc w:val="both"/>
        <w:rPr>
          <w:rFonts w:ascii="Times New Roman" w:hAnsi="Times New Roman"/>
          <w:sz w:val="28"/>
          <w:szCs w:val="28"/>
          <w:lang w:eastAsia="ru-RU"/>
        </w:rPr>
      </w:pPr>
      <w:r>
        <w:rPr>
          <w:rFonts w:ascii="Times New Roman" w:hAnsi="Times New Roman" w:cs="Times New Roman"/>
          <w:sz w:val="28"/>
          <w:szCs w:val="28"/>
        </w:rPr>
        <w:t xml:space="preserve">Проте, </w:t>
      </w:r>
      <w:r w:rsidRPr="00DD526B">
        <w:rPr>
          <w:rFonts w:ascii="Times New Roman" w:hAnsi="Times New Roman"/>
          <w:sz w:val="28"/>
          <w:szCs w:val="28"/>
          <w:lang w:eastAsia="ru-RU"/>
        </w:rPr>
        <w:t>недоречним включення до статті 21 Кодексу України про надра положень щодо необхідності отримання відповідних погоджень надання надр у користування для видобування прісних підземних вод та родовищ торфу обласної, Київської та Севастопольської міських</w:t>
      </w:r>
      <w:r>
        <w:rPr>
          <w:rFonts w:ascii="Times New Roman" w:hAnsi="Times New Roman"/>
          <w:sz w:val="28"/>
          <w:szCs w:val="28"/>
          <w:lang w:eastAsia="ru-RU"/>
        </w:rPr>
        <w:t xml:space="preserve"> рад</w:t>
      </w:r>
      <w:r w:rsidRPr="00DD526B">
        <w:rPr>
          <w:rFonts w:ascii="Times New Roman" w:hAnsi="Times New Roman"/>
          <w:sz w:val="28"/>
          <w:szCs w:val="28"/>
          <w:lang w:eastAsia="ru-RU"/>
        </w:rPr>
        <w:t>,</w:t>
      </w:r>
      <w:r>
        <w:rPr>
          <w:rFonts w:ascii="Times New Roman" w:hAnsi="Times New Roman"/>
          <w:sz w:val="28"/>
          <w:szCs w:val="28"/>
          <w:lang w:eastAsia="ru-RU"/>
        </w:rPr>
        <w:t xml:space="preserve"> оскільки до їх повноважень і так відноситься</w:t>
      </w:r>
      <w:r w:rsidRPr="00DD526B">
        <w:rPr>
          <w:rFonts w:ascii="Times New Roman" w:hAnsi="Times New Roman"/>
          <w:sz w:val="28"/>
          <w:szCs w:val="28"/>
          <w:lang w:eastAsia="ru-RU"/>
        </w:rPr>
        <w:t xml:space="preserve"> погодження клопотань про надання надр у користування з метою геологічного вивчення, розробки родовищ корисних копалин загальнодержавного значення, а також для цілей, не пов'язаних з видобуванням корисних копалин згідно статті 9-1 Кодексу України про надра.</w:t>
      </w:r>
    </w:p>
    <w:p w:rsidR="00BA14AE" w:rsidRPr="00DD526B" w:rsidRDefault="00BA14AE" w:rsidP="00BA14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w:t>
      </w:r>
      <w:r w:rsidRPr="00DD526B">
        <w:rPr>
          <w:rFonts w:ascii="Times New Roman" w:hAnsi="Times New Roman"/>
          <w:sz w:val="28"/>
          <w:szCs w:val="28"/>
          <w:lang w:eastAsia="ru-RU"/>
        </w:rPr>
        <w:t xml:space="preserve">рім того, відповідно до статті 9-2 Кодексу України про надра, до компетенції Ради міністрів Автономної Республіки Крим належить погодження клопотань про надання надр у користування з метою геологічного вивчення, розробки родовищ корисних копалин загальнодержавного значення, а також для цілей, не пов'язаних з видобуванням корисних копалин. Тому </w:t>
      </w:r>
      <w:r w:rsidRPr="00DD526B">
        <w:rPr>
          <w:rFonts w:ascii="Times New Roman" w:hAnsi="Times New Roman"/>
          <w:sz w:val="28"/>
          <w:szCs w:val="28"/>
          <w:lang w:eastAsia="ru-RU"/>
        </w:rPr>
        <w:lastRenderedPageBreak/>
        <w:t>положення чинної редакції статті 21 Кодексу України про надра, що встановлюють погодження з Радою Міністрів АР Крим, фактично є дублюванням норм вищезазначеної статті 9-2.</w:t>
      </w:r>
    </w:p>
    <w:p w:rsidR="00BA14AE" w:rsidRPr="00DD526B" w:rsidRDefault="00BA14AE" w:rsidP="00BA14AE">
      <w:pPr>
        <w:spacing w:after="0" w:line="240" w:lineRule="auto"/>
        <w:ind w:firstLine="709"/>
        <w:jc w:val="both"/>
        <w:rPr>
          <w:rFonts w:ascii="Times New Roman" w:hAnsi="Times New Roman"/>
          <w:sz w:val="28"/>
          <w:szCs w:val="28"/>
          <w:lang w:eastAsia="ru-RU"/>
        </w:rPr>
      </w:pPr>
      <w:r w:rsidRPr="00DD526B">
        <w:rPr>
          <w:rFonts w:ascii="Times New Roman" w:hAnsi="Times New Roman"/>
          <w:sz w:val="28"/>
          <w:szCs w:val="28"/>
          <w:lang w:eastAsia="ru-RU"/>
        </w:rPr>
        <w:t>Також, додаток 1 до вищезазначеного Порядку містить вичерпний перелік документів, які необхідно заявнику подати для отримання спеціального дозволу.</w:t>
      </w:r>
    </w:p>
    <w:p w:rsidR="00BA14AE" w:rsidRPr="00DD526B" w:rsidRDefault="00BA14AE" w:rsidP="00BA14AE">
      <w:pPr>
        <w:spacing w:after="0" w:line="240" w:lineRule="auto"/>
        <w:ind w:firstLine="709"/>
        <w:jc w:val="both"/>
        <w:rPr>
          <w:rFonts w:ascii="Times New Roman" w:hAnsi="Times New Roman"/>
          <w:sz w:val="28"/>
          <w:szCs w:val="28"/>
          <w:lang w:eastAsia="ru-RU"/>
        </w:rPr>
      </w:pPr>
      <w:r w:rsidRPr="00DD526B">
        <w:rPr>
          <w:rFonts w:ascii="Times New Roman" w:hAnsi="Times New Roman"/>
          <w:sz w:val="28"/>
          <w:szCs w:val="28"/>
          <w:lang w:eastAsia="ru-RU"/>
        </w:rPr>
        <w:t>Зокрема, пунктом 2 цього додатку передбачено, що для отримання спеціальних дозволів на користування надрами для видобування підземних вод заявниками, крім інших передбачених Порядком документів, надаються результати хімічного та бактеріологічного аналізу води, які при цьому мають бути строком давності не більш як шість місяців.</w:t>
      </w:r>
    </w:p>
    <w:p w:rsidR="00BA14AE" w:rsidRPr="00DD526B" w:rsidRDefault="00BA14AE" w:rsidP="00BA14AE">
      <w:pPr>
        <w:spacing w:after="0" w:line="240" w:lineRule="auto"/>
        <w:ind w:firstLine="709"/>
        <w:jc w:val="both"/>
        <w:rPr>
          <w:rFonts w:ascii="Times New Roman" w:hAnsi="Times New Roman"/>
          <w:sz w:val="28"/>
          <w:szCs w:val="28"/>
          <w:lang w:eastAsia="ru-RU"/>
        </w:rPr>
      </w:pPr>
      <w:r w:rsidRPr="00DD526B">
        <w:rPr>
          <w:rFonts w:ascii="Times New Roman" w:hAnsi="Times New Roman"/>
          <w:sz w:val="28"/>
          <w:szCs w:val="28"/>
          <w:lang w:eastAsia="ru-RU"/>
        </w:rPr>
        <w:t>Зазначені результати хімічного та бактеріологічного аналізу води є достовірним та компетентним документом, достатнім для розгляду питання щодо дотримання вимог законодавства у сфері санітарного та епідемічного благополуччя населення.</w:t>
      </w:r>
    </w:p>
    <w:p w:rsidR="00BA14AE" w:rsidRDefault="00BA14AE" w:rsidP="00BA14AE">
      <w:pPr>
        <w:spacing w:after="0" w:line="240" w:lineRule="auto"/>
        <w:ind w:firstLine="709"/>
        <w:jc w:val="both"/>
        <w:rPr>
          <w:rFonts w:ascii="Times New Roman" w:hAnsi="Times New Roman"/>
          <w:sz w:val="28"/>
          <w:szCs w:val="28"/>
          <w:lang w:eastAsia="ru-RU"/>
        </w:rPr>
      </w:pPr>
      <w:r w:rsidRPr="00DD526B">
        <w:rPr>
          <w:rFonts w:ascii="Times New Roman" w:hAnsi="Times New Roman"/>
          <w:sz w:val="28"/>
          <w:szCs w:val="28"/>
          <w:lang w:eastAsia="ru-RU"/>
        </w:rPr>
        <w:t>З огляду на це, проектом також передбачається вилучення центрального органу виконавчої влади, що реалізує державну політику у сфері санітарного та епідемічного благополуччя населення з переліку органів, що погоджують надання надр у користування для видобування прісних підземних вод і розробки родовищ торфу, наведених у статті 21 Кодексу України про надра.</w:t>
      </w:r>
    </w:p>
    <w:p w:rsidR="00BA14AE" w:rsidRPr="00096470" w:rsidRDefault="00BA14AE" w:rsidP="00BA14AE">
      <w:pPr>
        <w:spacing w:after="0" w:line="240" w:lineRule="auto"/>
        <w:ind w:firstLine="709"/>
        <w:jc w:val="both"/>
        <w:rPr>
          <w:rFonts w:ascii="Times New Roman" w:hAnsi="Times New Roman"/>
          <w:sz w:val="28"/>
          <w:szCs w:val="28"/>
          <w:lang w:eastAsia="ru-RU"/>
        </w:rPr>
      </w:pPr>
      <w:r w:rsidRPr="00096470">
        <w:rPr>
          <w:rFonts w:ascii="Times New Roman" w:hAnsi="Times New Roman"/>
          <w:sz w:val="28"/>
          <w:szCs w:val="28"/>
          <w:lang w:eastAsia="ru-RU"/>
        </w:rPr>
        <w:t xml:space="preserve">Також, з огляду на те, що відповідно до пункту 9 Порядку, Міністерство екології та природних ресурсів здійснює погодження надання у користування усіх видів надр, з метою забезпечення оптимізації здійснення погоджувальних процедур на рівні нормативно-правових актів, у проекті </w:t>
      </w:r>
      <w:proofErr w:type="spellStart"/>
      <w:r w:rsidRPr="00096470">
        <w:rPr>
          <w:rFonts w:ascii="Times New Roman" w:hAnsi="Times New Roman"/>
          <w:sz w:val="28"/>
          <w:szCs w:val="28"/>
          <w:lang w:eastAsia="ru-RU"/>
        </w:rPr>
        <w:t>передбаччається</w:t>
      </w:r>
      <w:proofErr w:type="spellEnd"/>
      <w:r w:rsidRPr="00096470">
        <w:rPr>
          <w:rFonts w:ascii="Times New Roman" w:hAnsi="Times New Roman"/>
          <w:sz w:val="28"/>
          <w:szCs w:val="28"/>
          <w:lang w:eastAsia="ru-RU"/>
        </w:rPr>
        <w:t xml:space="preserve"> включення </w:t>
      </w:r>
      <w:proofErr w:type="spellStart"/>
      <w:r w:rsidRPr="00096470">
        <w:rPr>
          <w:rFonts w:ascii="Times New Roman" w:hAnsi="Times New Roman"/>
          <w:sz w:val="28"/>
          <w:szCs w:val="28"/>
          <w:lang w:eastAsia="ru-RU"/>
        </w:rPr>
        <w:t>Мінприроди</w:t>
      </w:r>
      <w:proofErr w:type="spellEnd"/>
      <w:r w:rsidRPr="00096470">
        <w:rPr>
          <w:rFonts w:ascii="Times New Roman" w:hAnsi="Times New Roman"/>
          <w:sz w:val="28"/>
          <w:szCs w:val="28"/>
          <w:lang w:eastAsia="ru-RU"/>
        </w:rPr>
        <w:t xml:space="preserve"> до переліку органів, що здійснюють погодження надан</w:t>
      </w:r>
      <w:r>
        <w:rPr>
          <w:rFonts w:ascii="Times New Roman" w:hAnsi="Times New Roman"/>
          <w:sz w:val="28"/>
          <w:szCs w:val="28"/>
          <w:lang w:eastAsia="ru-RU"/>
        </w:rPr>
        <w:t>ня надр у користування для видо</w:t>
      </w:r>
      <w:r w:rsidRPr="00096470">
        <w:rPr>
          <w:rFonts w:ascii="Times New Roman" w:hAnsi="Times New Roman"/>
          <w:sz w:val="28"/>
          <w:szCs w:val="28"/>
          <w:lang w:eastAsia="ru-RU"/>
        </w:rPr>
        <w:t>бування прісних підземних вод і родовищ торфу.</w:t>
      </w:r>
    </w:p>
    <w:p w:rsidR="00BA14AE" w:rsidRPr="00576457" w:rsidRDefault="00BA14AE" w:rsidP="00BA14AE">
      <w:pPr>
        <w:pStyle w:val="a4"/>
        <w:spacing w:line="240" w:lineRule="auto"/>
        <w:ind w:left="0" w:firstLine="708"/>
        <w:jc w:val="both"/>
        <w:rPr>
          <w:rFonts w:ascii="Times New Roman" w:eastAsia="Times New Roman" w:hAnsi="Times New Roman" w:cs="Times New Roman"/>
          <w:sz w:val="28"/>
          <w:szCs w:val="28"/>
          <w:lang w:eastAsia="ru-RU"/>
        </w:rPr>
      </w:pPr>
    </w:p>
    <w:p w:rsidR="00BA14AE" w:rsidRPr="000C5045" w:rsidRDefault="00BA14AE" w:rsidP="00BA14AE">
      <w:pPr>
        <w:pStyle w:val="a4"/>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lang w:eastAsia="x-none"/>
        </w:rPr>
      </w:pPr>
      <w:r w:rsidRPr="000C5045">
        <w:rPr>
          <w:rFonts w:ascii="Times New Roman" w:eastAsia="Times New Roman" w:hAnsi="Times New Roman" w:cs="Times New Roman"/>
          <w:b/>
          <w:bCs/>
          <w:sz w:val="28"/>
          <w:szCs w:val="28"/>
          <w:lang w:eastAsia="x-none"/>
        </w:rPr>
        <w:t>Мета і шляхи її досягнення</w:t>
      </w:r>
    </w:p>
    <w:p w:rsidR="00BA14AE" w:rsidRPr="000C5045" w:rsidRDefault="00BA14AE" w:rsidP="00BA14AE">
      <w:pPr>
        <w:tabs>
          <w:tab w:val="left" w:pos="709"/>
        </w:tabs>
        <w:spacing w:after="0" w:line="240" w:lineRule="auto"/>
        <w:ind w:firstLine="709"/>
        <w:jc w:val="both"/>
        <w:rPr>
          <w:rFonts w:ascii="Times New Roman" w:hAnsi="Times New Roman" w:cs="Times New Roman"/>
          <w:sz w:val="28"/>
          <w:szCs w:val="28"/>
        </w:rPr>
      </w:pPr>
      <w:r w:rsidRPr="000C5045">
        <w:rPr>
          <w:rFonts w:ascii="Times New Roman" w:eastAsia="Times New Roman" w:hAnsi="Times New Roman" w:cs="Times New Roman"/>
          <w:sz w:val="28"/>
          <w:szCs w:val="28"/>
          <w:lang w:eastAsia="x-none"/>
        </w:rPr>
        <w:t xml:space="preserve">Метою прийняття проекту Закону є </w:t>
      </w:r>
      <w:r w:rsidRPr="000C5045">
        <w:rPr>
          <w:rFonts w:ascii="Times New Roman" w:hAnsi="Times New Roman"/>
          <w:sz w:val="28"/>
          <w:szCs w:val="28"/>
        </w:rPr>
        <w:t xml:space="preserve">дерегуляція господарської діяльності з </w:t>
      </w:r>
      <w:proofErr w:type="spellStart"/>
      <w:r w:rsidRPr="000C5045">
        <w:rPr>
          <w:rFonts w:ascii="Times New Roman" w:hAnsi="Times New Roman"/>
          <w:sz w:val="28"/>
          <w:szCs w:val="28"/>
        </w:rPr>
        <w:t>надрокористування</w:t>
      </w:r>
      <w:proofErr w:type="spellEnd"/>
      <w:r w:rsidRPr="000C5045">
        <w:rPr>
          <w:rFonts w:ascii="Times New Roman" w:hAnsi="Times New Roman"/>
          <w:sz w:val="28"/>
          <w:szCs w:val="28"/>
        </w:rPr>
        <w:t xml:space="preserve"> в Україні та збільшення його інвестиційної привабливості шляхом, зокрема, зменшення кількості документів дозвільного характеру, погоджень, висновків тощо. Також, при розробленні законопроекту враховувався принцип необхідності </w:t>
      </w:r>
      <w:r w:rsidRPr="000C5045">
        <w:rPr>
          <w:rFonts w:ascii="Times New Roman" w:hAnsi="Times New Roman" w:cs="Times New Roman"/>
          <w:color w:val="000000"/>
          <w:sz w:val="28"/>
          <w:szCs w:val="28"/>
        </w:rPr>
        <w:t>зменшення рівня державного регулювання господарської діяльності, визначений у частині першій статті 3 Закону України «Про дозвільну систему у сфері господарської діяльності».</w:t>
      </w:r>
    </w:p>
    <w:p w:rsidR="00BA14AE" w:rsidRPr="000C5045" w:rsidRDefault="00BA14AE" w:rsidP="00BA14A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r w:rsidRPr="000C5045">
        <w:rPr>
          <w:rFonts w:ascii="Times New Roman" w:eastAsia="Times New Roman" w:hAnsi="Times New Roman" w:cs="Times New Roman"/>
          <w:b/>
          <w:bCs/>
          <w:sz w:val="28"/>
          <w:szCs w:val="28"/>
          <w:lang w:eastAsia="ru-RU"/>
        </w:rPr>
        <w:t>3. Правові аспекти</w:t>
      </w:r>
    </w:p>
    <w:p w:rsidR="00BA14AE" w:rsidRPr="000C5045" w:rsidRDefault="00BA14AE" w:rsidP="00BA14AE">
      <w:pPr>
        <w:numPr>
          <w:ilvl w:val="12"/>
          <w:numId w:val="0"/>
        </w:numPr>
        <w:tabs>
          <w:tab w:val="left" w:pos="99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uk-UA"/>
        </w:rPr>
      </w:pPr>
      <w:r w:rsidRPr="000C5045">
        <w:rPr>
          <w:rFonts w:ascii="Times New Roman" w:eastAsia="Times New Roman" w:hAnsi="Times New Roman" w:cs="Times New Roman"/>
          <w:sz w:val="28"/>
          <w:szCs w:val="28"/>
          <w:lang w:eastAsia="uk-UA"/>
        </w:rPr>
        <w:t>В цій сфері правового регулювання діють :</w:t>
      </w:r>
    </w:p>
    <w:p w:rsidR="00BA14AE" w:rsidRPr="000C5045" w:rsidRDefault="00BA14AE" w:rsidP="00BA14AE">
      <w:pPr>
        <w:pStyle w:val="a4"/>
        <w:numPr>
          <w:ilvl w:val="0"/>
          <w:numId w:val="2"/>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uk-UA"/>
        </w:rPr>
      </w:pPr>
      <w:r w:rsidRPr="000C5045">
        <w:rPr>
          <w:rFonts w:ascii="Times New Roman" w:eastAsia="Times New Roman" w:hAnsi="Times New Roman" w:cs="Times New Roman"/>
          <w:sz w:val="28"/>
          <w:szCs w:val="28"/>
          <w:lang w:eastAsia="uk-UA"/>
        </w:rPr>
        <w:t>Кодекс України про надра.</w:t>
      </w:r>
    </w:p>
    <w:p w:rsidR="00BA14AE" w:rsidRPr="000C5045" w:rsidRDefault="00BA14AE" w:rsidP="00BA14AE">
      <w:pPr>
        <w:pStyle w:val="a4"/>
        <w:numPr>
          <w:ilvl w:val="0"/>
          <w:numId w:val="2"/>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uk-UA"/>
        </w:rPr>
      </w:pPr>
      <w:r w:rsidRPr="000C5045">
        <w:rPr>
          <w:rFonts w:ascii="Times New Roman" w:eastAsia="Times New Roman" w:hAnsi="Times New Roman" w:cs="Times New Roman"/>
          <w:sz w:val="28"/>
          <w:szCs w:val="28"/>
          <w:lang w:eastAsia="uk-UA"/>
        </w:rPr>
        <w:t>Закон України «Про дозвільну систему у сфері господарської діяльності».</w:t>
      </w:r>
    </w:p>
    <w:p w:rsidR="00BA14AE" w:rsidRPr="000C5045" w:rsidRDefault="00BA14AE" w:rsidP="00BA14AE">
      <w:pPr>
        <w:pStyle w:val="a4"/>
        <w:numPr>
          <w:ilvl w:val="0"/>
          <w:numId w:val="2"/>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uk-UA"/>
        </w:rPr>
      </w:pPr>
      <w:r w:rsidRPr="000C5045">
        <w:rPr>
          <w:rFonts w:ascii="Times New Roman" w:eastAsia="Times New Roman" w:hAnsi="Times New Roman" w:cs="Times New Roman"/>
          <w:sz w:val="28"/>
          <w:szCs w:val="28"/>
          <w:lang w:eastAsia="uk-UA"/>
        </w:rPr>
        <w:t xml:space="preserve">Постанова Кабінету Міністрів України </w:t>
      </w:r>
      <w:r w:rsidRPr="000C5045">
        <w:rPr>
          <w:rFonts w:ascii="Times New Roman" w:hAnsi="Times New Roman" w:cs="Times New Roman"/>
          <w:sz w:val="28"/>
          <w:szCs w:val="28"/>
        </w:rPr>
        <w:t>від 30.05.2011 № 615 «Про затвердження Порядку надання спеціальних дозволів на користування надрами».</w:t>
      </w:r>
    </w:p>
    <w:p w:rsidR="00BA14AE" w:rsidRPr="000C5045" w:rsidRDefault="00BA14AE" w:rsidP="00BA14A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highlight w:val="yellow"/>
          <w:lang w:eastAsia="ru-RU"/>
        </w:rPr>
      </w:pP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r w:rsidRPr="000C5045">
        <w:rPr>
          <w:rFonts w:ascii="Times New Roman" w:eastAsia="Times New Roman" w:hAnsi="Times New Roman" w:cs="Times New Roman"/>
          <w:b/>
          <w:bCs/>
          <w:sz w:val="28"/>
          <w:szCs w:val="28"/>
          <w:lang w:eastAsia="ru-RU"/>
        </w:rPr>
        <w:t>4. Фінансово-економічне обґрунтування</w:t>
      </w:r>
    </w:p>
    <w:p w:rsidR="00BA14AE" w:rsidRPr="000C5045" w:rsidRDefault="00BA14AE" w:rsidP="00BA14A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C5045">
        <w:rPr>
          <w:rFonts w:ascii="Times New Roman" w:eastAsia="Times New Roman" w:hAnsi="Times New Roman" w:cs="Times New Roman"/>
          <w:sz w:val="28"/>
          <w:szCs w:val="28"/>
          <w:lang w:eastAsia="ru-RU"/>
        </w:rPr>
        <w:t>Реалізація Закону не потребує додаткових матеріальних та інших витрат.</w:t>
      </w: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highlight w:val="yellow"/>
          <w:lang w:eastAsia="ru-RU"/>
        </w:rPr>
      </w:pP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r w:rsidRPr="000C5045">
        <w:rPr>
          <w:rFonts w:ascii="Times New Roman" w:eastAsia="Times New Roman" w:hAnsi="Times New Roman" w:cs="Times New Roman"/>
          <w:b/>
          <w:bCs/>
          <w:sz w:val="28"/>
          <w:szCs w:val="28"/>
          <w:lang w:eastAsia="ru-RU"/>
        </w:rPr>
        <w:t>5. Позиція заінтересованих органів</w:t>
      </w:r>
    </w:p>
    <w:p w:rsidR="00BA14AE" w:rsidRPr="000C5045" w:rsidRDefault="00BA14AE" w:rsidP="00BA14A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x-none"/>
        </w:rPr>
      </w:pPr>
      <w:r w:rsidRPr="000C5045">
        <w:rPr>
          <w:rFonts w:ascii="Times New Roman" w:eastAsia="Times New Roman" w:hAnsi="Times New Roman" w:cs="Times New Roman"/>
          <w:bCs/>
          <w:sz w:val="28"/>
          <w:szCs w:val="28"/>
          <w:lang w:eastAsia="x-none"/>
        </w:rPr>
        <w:t xml:space="preserve">Проект Закону </w:t>
      </w:r>
      <w:r w:rsidRPr="000C5045">
        <w:rPr>
          <w:rFonts w:ascii="Times New Roman" w:eastAsia="Times New Roman" w:hAnsi="Times New Roman" w:cs="Times New Roman"/>
          <w:sz w:val="28"/>
          <w:szCs w:val="28"/>
          <w:lang w:eastAsia="x-none"/>
        </w:rPr>
        <w:t>потребує погодження з Міністерством економічного розвитку і торгівлі України, Міністерством фінансів України, Державною службою України з питань регуляторної політики та розвитку підприємництва та Міністерством юстиції України.</w:t>
      </w:r>
    </w:p>
    <w:p w:rsidR="00BA14AE" w:rsidRPr="000C5045" w:rsidRDefault="00BA14AE" w:rsidP="00BA14A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highlight w:val="yellow"/>
          <w:lang w:eastAsia="ru-RU"/>
        </w:rPr>
      </w:pP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r w:rsidRPr="000C5045">
        <w:rPr>
          <w:rFonts w:ascii="Times New Roman" w:eastAsia="Times New Roman" w:hAnsi="Times New Roman" w:cs="Times New Roman"/>
          <w:b/>
          <w:bCs/>
          <w:sz w:val="28"/>
          <w:szCs w:val="28"/>
          <w:lang w:eastAsia="ru-RU"/>
        </w:rPr>
        <w:t>6. Регіональний аспект</w:t>
      </w:r>
    </w:p>
    <w:p w:rsidR="00BA14AE" w:rsidRDefault="00BA14AE" w:rsidP="00BA14A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x-none"/>
        </w:rPr>
      </w:pPr>
      <w:r w:rsidRPr="000C5045">
        <w:rPr>
          <w:rFonts w:ascii="Times New Roman" w:eastAsia="Times New Roman" w:hAnsi="Times New Roman" w:cs="Times New Roman"/>
          <w:sz w:val="28"/>
          <w:szCs w:val="28"/>
          <w:lang w:eastAsia="x-none"/>
        </w:rPr>
        <w:t>Проект Закону не стосується питання розвитку адміністративно-територіальних одиниць.</w:t>
      </w:r>
    </w:p>
    <w:p w:rsidR="00BA14AE" w:rsidRPr="000C5045" w:rsidRDefault="00BA14AE" w:rsidP="00BA14AE">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x-none"/>
        </w:rPr>
      </w:pP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val="ru-RU" w:eastAsia="ru-RU"/>
        </w:rPr>
      </w:pPr>
      <w:r w:rsidRPr="000C5045">
        <w:rPr>
          <w:rFonts w:ascii="Times New Roman" w:eastAsia="Times New Roman" w:hAnsi="Times New Roman" w:cs="Times New Roman"/>
          <w:b/>
          <w:bCs/>
          <w:sz w:val="28"/>
          <w:szCs w:val="28"/>
          <w:lang w:eastAsia="ru-RU"/>
        </w:rPr>
        <w:t>6</w:t>
      </w:r>
      <w:r w:rsidRPr="000C5045">
        <w:rPr>
          <w:rFonts w:ascii="Times New Roman" w:eastAsia="Times New Roman" w:hAnsi="Times New Roman" w:cs="Times New Roman"/>
          <w:b/>
          <w:bCs/>
          <w:sz w:val="28"/>
          <w:szCs w:val="28"/>
          <w:vertAlign w:val="superscript"/>
          <w:lang w:eastAsia="ru-RU"/>
        </w:rPr>
        <w:t>1</w:t>
      </w:r>
      <w:r w:rsidRPr="000C5045">
        <w:rPr>
          <w:rFonts w:ascii="Times New Roman" w:eastAsia="Times New Roman" w:hAnsi="Times New Roman" w:cs="Times New Roman"/>
          <w:b/>
          <w:bCs/>
          <w:sz w:val="28"/>
          <w:szCs w:val="28"/>
          <w:lang w:eastAsia="ru-RU"/>
        </w:rPr>
        <w:t>. Запобігання дискримінації</w:t>
      </w: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val="ru-RU" w:eastAsia="ru-RU"/>
        </w:rPr>
      </w:pPr>
      <w:r w:rsidRPr="000C5045">
        <w:rPr>
          <w:rFonts w:ascii="Times New Roman" w:eastAsia="Times New Roman" w:hAnsi="Times New Roman" w:cs="Times New Roman"/>
          <w:sz w:val="28"/>
          <w:szCs w:val="28"/>
          <w:lang w:eastAsia="ru-RU"/>
        </w:rPr>
        <w:t>У проекті Закону відсутні положення, які містять ознаки дискримінації</w:t>
      </w:r>
      <w:r w:rsidRPr="000C5045">
        <w:rPr>
          <w:rFonts w:ascii="Times New Roman" w:eastAsia="Times New Roman" w:hAnsi="Times New Roman" w:cs="Times New Roman"/>
          <w:sz w:val="28"/>
          <w:szCs w:val="28"/>
          <w:lang w:val="ru-RU" w:eastAsia="ru-RU"/>
        </w:rPr>
        <w:t>.</w:t>
      </w:r>
    </w:p>
    <w:p w:rsidR="00BA14AE" w:rsidRPr="000B469C" w:rsidRDefault="00BA14AE" w:rsidP="00BA14A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16"/>
          <w:szCs w:val="16"/>
          <w:highlight w:val="yellow"/>
          <w:lang w:val="ru-RU" w:eastAsia="ru-RU"/>
        </w:rPr>
      </w:pPr>
    </w:p>
    <w:p w:rsidR="00BA14AE" w:rsidRPr="000C5045" w:rsidRDefault="00BA14AE" w:rsidP="00BA14A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x-none"/>
        </w:rPr>
      </w:pPr>
      <w:r w:rsidRPr="000C5045">
        <w:rPr>
          <w:rFonts w:ascii="Times New Roman" w:eastAsia="Times New Roman" w:hAnsi="Times New Roman" w:cs="Times New Roman"/>
          <w:b/>
          <w:bCs/>
          <w:sz w:val="28"/>
          <w:szCs w:val="28"/>
          <w:lang w:eastAsia="x-none"/>
        </w:rPr>
        <w:t>7. Запобігання корупції</w:t>
      </w:r>
    </w:p>
    <w:p w:rsidR="00BA14AE" w:rsidRPr="000C5045" w:rsidRDefault="00BA14AE" w:rsidP="00BA14AE">
      <w:pPr>
        <w:tabs>
          <w:tab w:val="left" w:pos="288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x-none"/>
        </w:rPr>
      </w:pPr>
      <w:r w:rsidRPr="000C5045">
        <w:rPr>
          <w:rFonts w:ascii="Times New Roman" w:eastAsia="Times New Roman" w:hAnsi="Times New Roman" w:cs="Times New Roman"/>
          <w:sz w:val="28"/>
          <w:szCs w:val="28"/>
          <w:lang w:eastAsia="x-none"/>
        </w:rPr>
        <w:t>У проекті Закону відсутні правила і процедури, які можуть містити ризики вчинення корупційних правопорушень.</w:t>
      </w:r>
    </w:p>
    <w:p w:rsidR="00BA14AE" w:rsidRPr="000B469C"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16"/>
          <w:szCs w:val="16"/>
          <w:highlight w:val="yellow"/>
          <w:lang w:eastAsia="ru-RU"/>
        </w:rPr>
      </w:pP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r w:rsidRPr="000C5045">
        <w:rPr>
          <w:rFonts w:ascii="Times New Roman" w:eastAsia="Times New Roman" w:hAnsi="Times New Roman" w:cs="Times New Roman"/>
          <w:b/>
          <w:bCs/>
          <w:sz w:val="28"/>
          <w:szCs w:val="28"/>
          <w:lang w:eastAsia="ru-RU"/>
        </w:rPr>
        <w:t>8. Громадське обговорення</w:t>
      </w: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C5045">
        <w:rPr>
          <w:rFonts w:ascii="Times New Roman" w:eastAsia="Times New Roman" w:hAnsi="Times New Roman" w:cs="Times New Roman"/>
          <w:sz w:val="28"/>
          <w:szCs w:val="28"/>
          <w:lang w:eastAsia="ru-RU"/>
        </w:rPr>
        <w:t>Проект Закону потребує проведення консультацій з громадськістю.</w:t>
      </w:r>
    </w:p>
    <w:p w:rsidR="00BA14AE" w:rsidRPr="000B469C"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16"/>
          <w:szCs w:val="16"/>
          <w:highlight w:val="yellow"/>
          <w:lang w:eastAsia="ru-RU"/>
        </w:rPr>
      </w:pP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r w:rsidRPr="000C5045">
        <w:rPr>
          <w:rFonts w:ascii="Times New Roman" w:eastAsia="Times New Roman" w:hAnsi="Times New Roman" w:cs="Times New Roman"/>
          <w:b/>
          <w:bCs/>
          <w:sz w:val="28"/>
          <w:szCs w:val="28"/>
          <w:lang w:eastAsia="ru-RU"/>
        </w:rPr>
        <w:t>9 Позиція соціальних партнерів</w:t>
      </w: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r w:rsidRPr="000C5045">
        <w:rPr>
          <w:rFonts w:ascii="Times New Roman" w:eastAsia="Times New Roman" w:hAnsi="Times New Roman" w:cs="Times New Roman"/>
          <w:sz w:val="28"/>
          <w:szCs w:val="28"/>
          <w:lang w:eastAsia="ru-RU"/>
        </w:rPr>
        <w:t>Проект Закону не стосується соціально-трудової сфери.</w:t>
      </w: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r w:rsidRPr="000C5045">
        <w:rPr>
          <w:rFonts w:ascii="Times New Roman" w:eastAsia="Times New Roman" w:hAnsi="Times New Roman" w:cs="Times New Roman"/>
          <w:b/>
          <w:bCs/>
          <w:sz w:val="28"/>
          <w:szCs w:val="28"/>
          <w:lang w:eastAsia="ru-RU"/>
        </w:rPr>
        <w:t>10. Оцінка регуляторного впливу</w:t>
      </w:r>
    </w:p>
    <w:p w:rsidR="00BA14AE" w:rsidRPr="000C5045" w:rsidRDefault="00BA14AE" w:rsidP="00BA14AE">
      <w:pPr>
        <w:overflowPunct w:val="0"/>
        <w:autoSpaceDE w:val="0"/>
        <w:autoSpaceDN w:val="0"/>
        <w:adjustRightInd w:val="0"/>
        <w:spacing w:after="0" w:line="240" w:lineRule="auto"/>
        <w:ind w:firstLine="709"/>
        <w:jc w:val="both"/>
        <w:textAlignment w:val="baseline"/>
        <w:rPr>
          <w:rFonts w:ascii="Times New Roman CYR" w:eastAsia="Times New Roman" w:hAnsi="Times New Roman CYR" w:cs="Times New Roman CYR"/>
          <w:sz w:val="28"/>
          <w:szCs w:val="28"/>
          <w:lang w:eastAsia="ru-RU"/>
        </w:rPr>
      </w:pPr>
      <w:r w:rsidRPr="000C5045">
        <w:rPr>
          <w:rFonts w:ascii="Times New Roman CYR" w:eastAsia="Times New Roman" w:hAnsi="Times New Roman CYR" w:cs="Times New Roman CYR"/>
          <w:sz w:val="28"/>
          <w:szCs w:val="28"/>
          <w:lang w:eastAsia="ru-RU"/>
        </w:rPr>
        <w:t xml:space="preserve">Проект Закону є регуляторним актом відповідно до Закону України «Про засади державної регуляторної політики у сфері господарської діяльності» та постанови Кабінету Міністрів України від 11.03.2004 № 308 «Про затвердження </w:t>
      </w:r>
      <w:proofErr w:type="spellStart"/>
      <w:r w:rsidRPr="000C5045">
        <w:rPr>
          <w:rFonts w:ascii="Times New Roman CYR" w:eastAsia="Times New Roman" w:hAnsi="Times New Roman CYR" w:cs="Times New Roman CYR"/>
          <w:sz w:val="28"/>
          <w:szCs w:val="28"/>
          <w:lang w:eastAsia="ru-RU"/>
        </w:rPr>
        <w:t>методик</w:t>
      </w:r>
      <w:proofErr w:type="spellEnd"/>
      <w:r w:rsidRPr="000C5045">
        <w:rPr>
          <w:rFonts w:ascii="Times New Roman CYR" w:eastAsia="Times New Roman" w:hAnsi="Times New Roman CYR" w:cs="Times New Roman CYR"/>
          <w:sz w:val="28"/>
          <w:szCs w:val="28"/>
          <w:lang w:eastAsia="ru-RU"/>
        </w:rPr>
        <w:t xml:space="preserve"> проведення аналізу впливу та відстеження результативності регуляторного </w:t>
      </w:r>
      <w:proofErr w:type="spellStart"/>
      <w:r w:rsidRPr="000C5045">
        <w:rPr>
          <w:rFonts w:ascii="Times New Roman CYR" w:eastAsia="Times New Roman" w:hAnsi="Times New Roman CYR" w:cs="Times New Roman CYR"/>
          <w:sz w:val="28"/>
          <w:szCs w:val="28"/>
          <w:lang w:eastAsia="ru-RU"/>
        </w:rPr>
        <w:t>акта</w:t>
      </w:r>
      <w:proofErr w:type="spellEnd"/>
      <w:r w:rsidRPr="000C5045">
        <w:rPr>
          <w:rFonts w:ascii="Times New Roman CYR" w:eastAsia="Times New Roman" w:hAnsi="Times New Roman CYR" w:cs="Times New Roman CYR"/>
          <w:sz w:val="28"/>
          <w:szCs w:val="28"/>
          <w:lang w:eastAsia="ru-RU"/>
        </w:rPr>
        <w:t>».</w:t>
      </w:r>
    </w:p>
    <w:p w:rsidR="00BA14AE" w:rsidRPr="000C5045" w:rsidRDefault="00BA14AE" w:rsidP="00BA14AE">
      <w:pPr>
        <w:spacing w:after="0" w:line="240" w:lineRule="auto"/>
        <w:ind w:firstLine="709"/>
        <w:jc w:val="both"/>
        <w:rPr>
          <w:rFonts w:ascii="Times New Roman" w:eastAsia="Times New Roman" w:hAnsi="Times New Roman" w:cs="Times New Roman"/>
          <w:sz w:val="28"/>
          <w:szCs w:val="28"/>
          <w:lang w:eastAsia="ru-RU"/>
        </w:rPr>
      </w:pPr>
      <w:r w:rsidRPr="000C5045">
        <w:rPr>
          <w:rFonts w:ascii="Times New Roman" w:eastAsia="Times New Roman" w:hAnsi="Times New Roman" w:cs="Times New Roman"/>
          <w:sz w:val="28"/>
          <w:szCs w:val="28"/>
          <w:lang w:eastAsia="ru-RU"/>
        </w:rPr>
        <w:t xml:space="preserve">Очікувані результати прийняття цього регуляторного </w:t>
      </w:r>
      <w:proofErr w:type="spellStart"/>
      <w:r w:rsidRPr="000C5045">
        <w:rPr>
          <w:rFonts w:ascii="Times New Roman" w:eastAsia="Times New Roman" w:hAnsi="Times New Roman" w:cs="Times New Roman"/>
          <w:sz w:val="28"/>
          <w:szCs w:val="28"/>
          <w:lang w:eastAsia="ru-RU"/>
        </w:rPr>
        <w:t>акта</w:t>
      </w:r>
      <w:proofErr w:type="spellEnd"/>
      <w:r w:rsidRPr="000C5045">
        <w:rPr>
          <w:rFonts w:ascii="Times New Roman" w:eastAsia="Times New Roman" w:hAnsi="Times New Roman" w:cs="Times New Roman"/>
          <w:sz w:val="28"/>
          <w:szCs w:val="28"/>
          <w:lang w:eastAsia="ru-RU"/>
        </w:rPr>
        <w:t xml:space="preserve">  визначалися із застосуванням методу аналізу </w:t>
      </w:r>
      <w:proofErr w:type="spellStart"/>
      <w:r w:rsidRPr="000C5045">
        <w:rPr>
          <w:rFonts w:ascii="Times New Roman" w:eastAsia="Times New Roman" w:hAnsi="Times New Roman" w:cs="Times New Roman"/>
          <w:sz w:val="28"/>
          <w:szCs w:val="28"/>
          <w:lang w:eastAsia="ru-RU"/>
        </w:rPr>
        <w:t>вигод</w:t>
      </w:r>
      <w:proofErr w:type="spellEnd"/>
      <w:r w:rsidRPr="000C5045">
        <w:rPr>
          <w:rFonts w:ascii="Times New Roman" w:eastAsia="Times New Roman" w:hAnsi="Times New Roman" w:cs="Times New Roman"/>
          <w:sz w:val="28"/>
          <w:szCs w:val="28"/>
          <w:lang w:eastAsia="ru-RU"/>
        </w:rPr>
        <w:t xml:space="preserve"> та втрат щодо держави, суб’єктів господарювання-</w:t>
      </w:r>
      <w:proofErr w:type="spellStart"/>
      <w:r w:rsidRPr="000C5045">
        <w:rPr>
          <w:rFonts w:ascii="Times New Roman" w:eastAsia="Times New Roman" w:hAnsi="Times New Roman" w:cs="Times New Roman"/>
          <w:sz w:val="28"/>
          <w:szCs w:val="28"/>
          <w:lang w:eastAsia="ru-RU"/>
        </w:rPr>
        <w:t>надрокористувачів</w:t>
      </w:r>
      <w:proofErr w:type="spellEnd"/>
      <w:r w:rsidRPr="000C5045">
        <w:rPr>
          <w:rFonts w:ascii="Times New Roman" w:eastAsia="Times New Roman" w:hAnsi="Times New Roman" w:cs="Times New Roman"/>
          <w:sz w:val="28"/>
          <w:szCs w:val="28"/>
          <w:lang w:eastAsia="ru-RU"/>
        </w:rPr>
        <w:t xml:space="preserve">, які отримують спеціальні дозволи на користування для видобування підземних вод. </w:t>
      </w:r>
    </w:p>
    <w:p w:rsidR="00BA14AE" w:rsidRPr="000C5045" w:rsidRDefault="00BA14AE" w:rsidP="00BA14AE">
      <w:pPr>
        <w:spacing w:after="0"/>
        <w:ind w:firstLine="709"/>
        <w:jc w:val="both"/>
        <w:rPr>
          <w:rFonts w:ascii="Times New Roman" w:eastAsia="Times New Roman" w:hAnsi="Times New Roman" w:cs="Times New Roman"/>
          <w:sz w:val="28"/>
          <w:szCs w:val="28"/>
          <w:lang w:eastAsia="ru-RU"/>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490"/>
        <w:gridCol w:w="3959"/>
      </w:tblGrid>
      <w:tr w:rsidR="00BA14AE" w:rsidRPr="000C5045" w:rsidTr="00FC6C97">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BA14AE" w:rsidRPr="000C5045" w:rsidRDefault="00BA14AE" w:rsidP="00FC6C97">
            <w:pPr>
              <w:spacing w:after="0"/>
              <w:jc w:val="both"/>
              <w:rPr>
                <w:rFonts w:ascii="Times New Roman" w:eastAsia="Times New Roman" w:hAnsi="Times New Roman" w:cs="Times New Roman"/>
                <w:b/>
                <w:sz w:val="28"/>
                <w:szCs w:val="28"/>
                <w:lang w:eastAsia="ru-RU"/>
              </w:rPr>
            </w:pPr>
            <w:r w:rsidRPr="000C5045">
              <w:rPr>
                <w:rFonts w:ascii="Times New Roman" w:eastAsia="Times New Roman" w:hAnsi="Times New Roman" w:cs="Times New Roman"/>
                <w:b/>
                <w:sz w:val="28"/>
                <w:szCs w:val="28"/>
                <w:lang w:eastAsia="ru-RU"/>
              </w:rPr>
              <w:t>Об’єкт впливу</w:t>
            </w:r>
          </w:p>
        </w:tc>
        <w:tc>
          <w:tcPr>
            <w:tcW w:w="3490" w:type="dxa"/>
            <w:tcBorders>
              <w:top w:val="single" w:sz="4" w:space="0" w:color="auto"/>
              <w:left w:val="single" w:sz="4" w:space="0" w:color="auto"/>
              <w:bottom w:val="single" w:sz="4" w:space="0" w:color="auto"/>
              <w:right w:val="single" w:sz="4" w:space="0" w:color="auto"/>
            </w:tcBorders>
            <w:shd w:val="clear" w:color="auto" w:fill="auto"/>
            <w:hideMark/>
          </w:tcPr>
          <w:p w:rsidR="00BA14AE" w:rsidRPr="000C5045" w:rsidRDefault="00BA14AE" w:rsidP="00FC6C97">
            <w:pPr>
              <w:spacing w:after="0"/>
              <w:jc w:val="both"/>
              <w:rPr>
                <w:rFonts w:ascii="Times New Roman" w:eastAsia="Times New Roman" w:hAnsi="Times New Roman" w:cs="Times New Roman"/>
                <w:b/>
                <w:sz w:val="28"/>
                <w:szCs w:val="28"/>
                <w:lang w:eastAsia="ru-RU"/>
              </w:rPr>
            </w:pPr>
            <w:r w:rsidRPr="000C5045">
              <w:rPr>
                <w:rFonts w:ascii="Times New Roman" w:eastAsia="Times New Roman" w:hAnsi="Times New Roman" w:cs="Times New Roman"/>
                <w:b/>
                <w:sz w:val="28"/>
                <w:szCs w:val="28"/>
                <w:lang w:eastAsia="ru-RU"/>
              </w:rPr>
              <w:t>Вигоди</w:t>
            </w:r>
          </w:p>
        </w:tc>
        <w:tc>
          <w:tcPr>
            <w:tcW w:w="3959" w:type="dxa"/>
            <w:tcBorders>
              <w:top w:val="single" w:sz="4" w:space="0" w:color="auto"/>
              <w:left w:val="single" w:sz="4" w:space="0" w:color="auto"/>
              <w:bottom w:val="single" w:sz="4" w:space="0" w:color="auto"/>
              <w:right w:val="single" w:sz="4" w:space="0" w:color="auto"/>
            </w:tcBorders>
            <w:shd w:val="clear" w:color="auto" w:fill="auto"/>
            <w:hideMark/>
          </w:tcPr>
          <w:p w:rsidR="00BA14AE" w:rsidRPr="000C5045" w:rsidRDefault="00BA14AE" w:rsidP="00FC6C97">
            <w:pPr>
              <w:spacing w:after="0"/>
              <w:jc w:val="both"/>
              <w:rPr>
                <w:rFonts w:ascii="Times New Roman" w:eastAsia="Times New Roman" w:hAnsi="Times New Roman" w:cs="Times New Roman"/>
                <w:b/>
                <w:sz w:val="28"/>
                <w:szCs w:val="28"/>
                <w:lang w:eastAsia="ru-RU"/>
              </w:rPr>
            </w:pPr>
            <w:r w:rsidRPr="000C5045">
              <w:rPr>
                <w:rFonts w:ascii="Times New Roman" w:eastAsia="Times New Roman" w:hAnsi="Times New Roman" w:cs="Times New Roman"/>
                <w:b/>
                <w:sz w:val="28"/>
                <w:szCs w:val="28"/>
                <w:lang w:eastAsia="ru-RU"/>
              </w:rPr>
              <w:t>Витрати</w:t>
            </w:r>
          </w:p>
        </w:tc>
      </w:tr>
      <w:tr w:rsidR="00BA14AE" w:rsidRPr="000C5045" w:rsidTr="00FC6C97">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r w:rsidRPr="000C5045">
              <w:rPr>
                <w:rFonts w:ascii="Times New Roman" w:eastAsia="Times New Roman" w:hAnsi="Times New Roman" w:cs="Times New Roman"/>
                <w:sz w:val="28"/>
                <w:szCs w:val="28"/>
                <w:lang w:eastAsia="ru-RU"/>
              </w:rPr>
              <w:t>Держава</w:t>
            </w:r>
          </w:p>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p>
        </w:tc>
        <w:tc>
          <w:tcPr>
            <w:tcW w:w="3490" w:type="dxa"/>
            <w:tcBorders>
              <w:top w:val="single" w:sz="4" w:space="0" w:color="auto"/>
              <w:left w:val="single" w:sz="4" w:space="0" w:color="auto"/>
              <w:bottom w:val="single" w:sz="4" w:space="0" w:color="auto"/>
              <w:right w:val="single" w:sz="4" w:space="0" w:color="auto"/>
            </w:tcBorders>
            <w:shd w:val="clear" w:color="auto" w:fill="auto"/>
            <w:hideMark/>
          </w:tcPr>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r w:rsidRPr="000C5045">
              <w:rPr>
                <w:rFonts w:ascii="Times New Roman" w:eastAsia="Times New Roman" w:hAnsi="Times New Roman" w:cs="Times New Roman"/>
                <w:sz w:val="28"/>
                <w:szCs w:val="28"/>
                <w:lang w:eastAsia="ru-RU"/>
              </w:rPr>
              <w:t>Оптимізація провадження органами державної влади довільно-погоджувальних процедур, передбачених статтею 21 Кодексу України про надра</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BA14AE" w:rsidRPr="000C5045" w:rsidRDefault="00BA14AE" w:rsidP="00FC6C97">
            <w:pPr>
              <w:tabs>
                <w:tab w:val="left" w:pos="142"/>
              </w:tabs>
              <w:spacing w:after="0" w:line="240" w:lineRule="auto"/>
              <w:jc w:val="both"/>
              <w:rPr>
                <w:rFonts w:ascii="Times New Roman" w:eastAsia="Times New Roman" w:hAnsi="Times New Roman" w:cs="Times New Roman"/>
                <w:sz w:val="28"/>
                <w:szCs w:val="28"/>
                <w:lang w:eastAsia="ru-RU"/>
              </w:rPr>
            </w:pPr>
            <w:r w:rsidRPr="000C5045">
              <w:rPr>
                <w:rFonts w:ascii="Times New Roman" w:eastAsia="Times New Roman" w:hAnsi="Times New Roman" w:cs="Times New Roman"/>
                <w:sz w:val="28"/>
                <w:szCs w:val="28"/>
                <w:lang w:eastAsia="ru-RU"/>
              </w:rPr>
              <w:t>Витрат із державного та місцевих бюджетів не передбачено.</w:t>
            </w:r>
          </w:p>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p>
        </w:tc>
      </w:tr>
      <w:tr w:rsidR="00BA14AE" w:rsidRPr="000C5045" w:rsidTr="00FC6C97">
        <w:trPr>
          <w:trHeight w:val="1126"/>
        </w:trPr>
        <w:tc>
          <w:tcPr>
            <w:tcW w:w="2376" w:type="dxa"/>
            <w:tcBorders>
              <w:top w:val="single" w:sz="4" w:space="0" w:color="auto"/>
              <w:left w:val="single" w:sz="4" w:space="0" w:color="auto"/>
              <w:bottom w:val="single" w:sz="4" w:space="0" w:color="auto"/>
              <w:right w:val="single" w:sz="4" w:space="0" w:color="auto"/>
            </w:tcBorders>
            <w:shd w:val="clear" w:color="auto" w:fill="auto"/>
          </w:tcPr>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r w:rsidRPr="000C5045">
              <w:rPr>
                <w:rFonts w:ascii="Times New Roman" w:eastAsia="Times New Roman" w:hAnsi="Times New Roman" w:cs="Times New Roman"/>
                <w:sz w:val="28"/>
                <w:szCs w:val="28"/>
                <w:lang w:eastAsia="ru-RU"/>
              </w:rPr>
              <w:lastRenderedPageBreak/>
              <w:t xml:space="preserve">Суб’єкти </w:t>
            </w:r>
          </w:p>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r w:rsidRPr="000C5045">
              <w:rPr>
                <w:rFonts w:ascii="Times New Roman" w:eastAsia="Times New Roman" w:hAnsi="Times New Roman" w:cs="Times New Roman"/>
                <w:sz w:val="28"/>
                <w:szCs w:val="28"/>
                <w:lang w:eastAsia="ru-RU"/>
              </w:rPr>
              <w:t xml:space="preserve">господарювання </w:t>
            </w:r>
          </w:p>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p>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p>
        </w:tc>
        <w:tc>
          <w:tcPr>
            <w:tcW w:w="3490" w:type="dxa"/>
            <w:tcBorders>
              <w:top w:val="single" w:sz="4" w:space="0" w:color="auto"/>
              <w:left w:val="single" w:sz="4" w:space="0" w:color="auto"/>
              <w:bottom w:val="single" w:sz="4" w:space="0" w:color="auto"/>
              <w:right w:val="single" w:sz="4" w:space="0" w:color="auto"/>
            </w:tcBorders>
            <w:shd w:val="clear" w:color="auto" w:fill="auto"/>
            <w:hideMark/>
          </w:tcPr>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r w:rsidRPr="000C5045">
              <w:rPr>
                <w:rFonts w:ascii="Times New Roman" w:eastAsia="Calibri" w:hAnsi="Times New Roman" w:cs="Times New Roman"/>
                <w:sz w:val="28"/>
                <w:szCs w:val="28"/>
                <w:lang w:eastAsia="ru-RU"/>
              </w:rPr>
              <w:t>Спрощення процедури погодження отримання спеціального дозволу на користування надрами</w:t>
            </w:r>
          </w:p>
        </w:tc>
        <w:tc>
          <w:tcPr>
            <w:tcW w:w="3959" w:type="dxa"/>
            <w:tcBorders>
              <w:top w:val="single" w:sz="4" w:space="0" w:color="auto"/>
              <w:left w:val="single" w:sz="4" w:space="0" w:color="auto"/>
              <w:bottom w:val="single" w:sz="4" w:space="0" w:color="auto"/>
              <w:right w:val="single" w:sz="4" w:space="0" w:color="auto"/>
            </w:tcBorders>
            <w:shd w:val="clear" w:color="auto" w:fill="auto"/>
            <w:hideMark/>
          </w:tcPr>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r w:rsidRPr="000C5045">
              <w:rPr>
                <w:rFonts w:ascii="Times New Roman" w:eastAsia="Times New Roman" w:hAnsi="Times New Roman" w:cs="Times New Roman"/>
                <w:sz w:val="28"/>
                <w:szCs w:val="28"/>
                <w:lang w:eastAsia="ru-RU"/>
              </w:rPr>
              <w:t>Не передбачено.</w:t>
            </w:r>
          </w:p>
        </w:tc>
      </w:tr>
      <w:tr w:rsidR="00BA14AE" w:rsidRPr="000C5045" w:rsidTr="00FC6C97">
        <w:trPr>
          <w:trHeight w:val="701"/>
        </w:trPr>
        <w:tc>
          <w:tcPr>
            <w:tcW w:w="2376" w:type="dxa"/>
            <w:tcBorders>
              <w:top w:val="single" w:sz="4" w:space="0" w:color="auto"/>
              <w:left w:val="single" w:sz="4" w:space="0" w:color="auto"/>
              <w:bottom w:val="single" w:sz="4" w:space="0" w:color="auto"/>
              <w:right w:val="single" w:sz="4" w:space="0" w:color="auto"/>
            </w:tcBorders>
            <w:shd w:val="clear" w:color="auto" w:fill="auto"/>
          </w:tcPr>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r w:rsidRPr="000C5045">
              <w:rPr>
                <w:rFonts w:ascii="Times New Roman" w:eastAsia="Times New Roman" w:hAnsi="Times New Roman" w:cs="Times New Roman"/>
                <w:sz w:val="28"/>
                <w:szCs w:val="28"/>
                <w:lang w:eastAsia="ru-RU"/>
              </w:rPr>
              <w:t>Громадськість</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r w:rsidRPr="000C5045">
              <w:rPr>
                <w:rFonts w:ascii="Times New Roman" w:eastAsia="Calibri" w:hAnsi="Times New Roman" w:cs="Times New Roman"/>
                <w:sz w:val="28"/>
                <w:szCs w:val="28"/>
                <w:lang w:eastAsia="ru-RU"/>
              </w:rPr>
              <w:t xml:space="preserve">Підвищення рівня прозорості у сфері </w:t>
            </w:r>
            <w:proofErr w:type="spellStart"/>
            <w:r w:rsidRPr="000C5045">
              <w:rPr>
                <w:rFonts w:ascii="Times New Roman" w:eastAsia="Calibri" w:hAnsi="Times New Roman" w:cs="Times New Roman"/>
                <w:sz w:val="28"/>
                <w:szCs w:val="28"/>
                <w:lang w:eastAsia="ru-RU"/>
              </w:rPr>
              <w:t>надрокористування</w:t>
            </w:r>
            <w:proofErr w:type="spellEnd"/>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BA14AE" w:rsidRPr="000C5045" w:rsidRDefault="00BA14AE" w:rsidP="00FC6C97">
            <w:pPr>
              <w:spacing w:after="0" w:line="240" w:lineRule="auto"/>
              <w:jc w:val="both"/>
              <w:rPr>
                <w:rFonts w:ascii="Times New Roman" w:eastAsia="Times New Roman" w:hAnsi="Times New Roman" w:cs="Times New Roman"/>
                <w:sz w:val="28"/>
                <w:szCs w:val="28"/>
                <w:lang w:eastAsia="ru-RU"/>
              </w:rPr>
            </w:pPr>
            <w:r w:rsidRPr="000C5045">
              <w:rPr>
                <w:rFonts w:ascii="Times New Roman" w:eastAsia="Times New Roman" w:hAnsi="Times New Roman" w:cs="Times New Roman"/>
                <w:sz w:val="28"/>
                <w:szCs w:val="28"/>
                <w:lang w:eastAsia="ru-RU"/>
              </w:rPr>
              <w:t>Не передбачено.</w:t>
            </w:r>
          </w:p>
        </w:tc>
      </w:tr>
    </w:tbl>
    <w:p w:rsidR="00BA14AE" w:rsidRPr="002D044F" w:rsidRDefault="00BA14AE" w:rsidP="00BA14A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lang w:eastAsia="ru-RU"/>
        </w:rPr>
      </w:pPr>
    </w:p>
    <w:p w:rsidR="00BA14AE" w:rsidRPr="002D044F" w:rsidRDefault="00BA14AE" w:rsidP="00BA14AE">
      <w:pPr>
        <w:numPr>
          <w:ilvl w:val="12"/>
          <w:numId w:val="0"/>
        </w:num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
          <w:bCs/>
          <w:sz w:val="28"/>
          <w:szCs w:val="28"/>
          <w:lang w:eastAsia="ru-RU"/>
        </w:rPr>
      </w:pPr>
      <w:r w:rsidRPr="002D044F">
        <w:rPr>
          <w:rFonts w:ascii="Times New Roman" w:eastAsia="Times New Roman" w:hAnsi="Times New Roman" w:cs="Times New Roman"/>
          <w:b/>
          <w:bCs/>
          <w:sz w:val="28"/>
          <w:szCs w:val="28"/>
          <w:lang w:eastAsia="ru-RU"/>
        </w:rPr>
        <w:t xml:space="preserve">10-1. Вплив реалізації </w:t>
      </w:r>
      <w:proofErr w:type="spellStart"/>
      <w:r w:rsidRPr="002D044F">
        <w:rPr>
          <w:rFonts w:ascii="Times New Roman" w:eastAsia="Times New Roman" w:hAnsi="Times New Roman" w:cs="Times New Roman"/>
          <w:b/>
          <w:bCs/>
          <w:sz w:val="28"/>
          <w:szCs w:val="28"/>
          <w:lang w:eastAsia="ru-RU"/>
        </w:rPr>
        <w:t>акта</w:t>
      </w:r>
      <w:proofErr w:type="spellEnd"/>
      <w:r w:rsidRPr="002D044F">
        <w:rPr>
          <w:rFonts w:ascii="Times New Roman" w:eastAsia="Times New Roman" w:hAnsi="Times New Roman" w:cs="Times New Roman"/>
          <w:b/>
          <w:bCs/>
          <w:sz w:val="28"/>
          <w:szCs w:val="28"/>
          <w:lang w:eastAsia="ru-RU"/>
        </w:rPr>
        <w:t xml:space="preserve"> на ринок праці</w:t>
      </w:r>
    </w:p>
    <w:p w:rsidR="00BA14AE" w:rsidRPr="002D044F" w:rsidRDefault="00BA14AE" w:rsidP="00BA14AE">
      <w:pPr>
        <w:numPr>
          <w:ilvl w:val="12"/>
          <w:numId w:val="0"/>
        </w:num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Cs/>
          <w:sz w:val="28"/>
          <w:szCs w:val="28"/>
          <w:lang w:eastAsia="ru-RU"/>
        </w:rPr>
      </w:pPr>
      <w:r w:rsidRPr="002D044F">
        <w:rPr>
          <w:rFonts w:ascii="Times New Roman" w:eastAsia="Times New Roman" w:hAnsi="Times New Roman" w:cs="Times New Roman"/>
          <w:bCs/>
          <w:sz w:val="28"/>
          <w:szCs w:val="28"/>
          <w:lang w:eastAsia="ru-RU"/>
        </w:rPr>
        <w:t>Реалізація зазначеного проекту акту не впливає на показники ринку праці.</w:t>
      </w:r>
    </w:p>
    <w:p w:rsidR="00BA14AE" w:rsidRDefault="00BA14AE" w:rsidP="00BA14AE">
      <w:pPr>
        <w:numPr>
          <w:ilvl w:val="12"/>
          <w:numId w:val="0"/>
        </w:num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
          <w:bCs/>
          <w:sz w:val="28"/>
          <w:szCs w:val="28"/>
          <w:lang w:eastAsia="ru-RU"/>
        </w:rPr>
      </w:pPr>
    </w:p>
    <w:p w:rsidR="00BA14AE" w:rsidRDefault="00BA14AE" w:rsidP="00BA14A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lang w:eastAsia="ru-RU"/>
        </w:rPr>
      </w:pPr>
    </w:p>
    <w:p w:rsidR="00BA14AE" w:rsidRPr="000C5045" w:rsidRDefault="00BA14AE" w:rsidP="00BA14AE">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r w:rsidRPr="000C5045">
        <w:rPr>
          <w:rFonts w:ascii="Times New Roman" w:eastAsia="Times New Roman" w:hAnsi="Times New Roman" w:cs="Times New Roman"/>
          <w:b/>
          <w:bCs/>
          <w:sz w:val="28"/>
          <w:szCs w:val="28"/>
          <w:lang w:eastAsia="ru-RU"/>
        </w:rPr>
        <w:t>11. Прогноз результатів</w:t>
      </w:r>
    </w:p>
    <w:p w:rsidR="00BA14AE" w:rsidRPr="000C5045" w:rsidRDefault="00BA14AE" w:rsidP="00BA14A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C5045">
        <w:rPr>
          <w:rFonts w:ascii="Times New Roman" w:eastAsia="Times New Roman" w:hAnsi="Times New Roman" w:cs="Times New Roman"/>
          <w:sz w:val="28"/>
          <w:szCs w:val="28"/>
          <w:lang w:eastAsia="ru-RU"/>
        </w:rPr>
        <w:t xml:space="preserve">Реалізація Закону дозволить забезпечити реалізацію принципу </w:t>
      </w:r>
      <w:r w:rsidRPr="000C5045">
        <w:rPr>
          <w:rFonts w:ascii="Times New Roman" w:hAnsi="Times New Roman" w:cs="Times New Roman"/>
          <w:color w:val="000000"/>
          <w:sz w:val="28"/>
          <w:szCs w:val="28"/>
        </w:rPr>
        <w:t>зменшення рівня державного регулювання господарської діяльності</w:t>
      </w:r>
      <w:r w:rsidRPr="000C5045">
        <w:rPr>
          <w:rFonts w:ascii="Times New Roman" w:hAnsi="Times New Roman" w:cs="Times New Roman"/>
          <w:bCs/>
          <w:sz w:val="28"/>
          <w:szCs w:val="28"/>
        </w:rPr>
        <w:t xml:space="preserve">, а також </w:t>
      </w:r>
      <w:r w:rsidRPr="000C5045">
        <w:rPr>
          <w:rFonts w:ascii="Times New Roman" w:hAnsi="Times New Roman" w:cs="Times New Roman"/>
          <w:color w:val="000000"/>
          <w:sz w:val="28"/>
          <w:szCs w:val="28"/>
        </w:rPr>
        <w:t xml:space="preserve">забезпечити </w:t>
      </w:r>
      <w:r w:rsidRPr="000C5045">
        <w:rPr>
          <w:rFonts w:ascii="Times New Roman" w:eastAsia="Times New Roman" w:hAnsi="Times New Roman" w:cs="Times New Roman"/>
          <w:sz w:val="28"/>
          <w:szCs w:val="28"/>
          <w:lang w:eastAsia="ru-RU"/>
        </w:rPr>
        <w:t>оптимізацію провадження органами державної влади дозвільно-погоджувальних процедур, передбачених статтею 21 Кодексу України про надра.</w:t>
      </w:r>
    </w:p>
    <w:p w:rsidR="00BA14AE" w:rsidRPr="00256C5B" w:rsidRDefault="00BA14AE" w:rsidP="00BA14A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highlight w:val="yellow"/>
          <w:lang w:eastAsia="ru-RU"/>
        </w:rPr>
      </w:pPr>
    </w:p>
    <w:p w:rsidR="00BA14AE" w:rsidRPr="00256C5B" w:rsidRDefault="00BA14AE" w:rsidP="00BA14A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highlight w:val="yellow"/>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67"/>
      </w:tblGrid>
      <w:tr w:rsidR="00BA14AE" w:rsidTr="00FC6C97">
        <w:tc>
          <w:tcPr>
            <w:tcW w:w="4927" w:type="dxa"/>
          </w:tcPr>
          <w:p w:rsidR="00BA14AE" w:rsidRDefault="00BA14AE" w:rsidP="00FC6C97">
            <w:pPr>
              <w:jc w:val="both"/>
              <w:rPr>
                <w:rFonts w:ascii="Times New Roman" w:hAnsi="Times New Roman" w:cs="Times New Roman"/>
                <w:b/>
                <w:sz w:val="28"/>
                <w:szCs w:val="28"/>
              </w:rPr>
            </w:pPr>
            <w:proofErr w:type="spellStart"/>
            <w:r>
              <w:rPr>
                <w:rFonts w:ascii="Times New Roman" w:hAnsi="Times New Roman" w:cs="Times New Roman"/>
                <w:b/>
                <w:sz w:val="28"/>
                <w:szCs w:val="28"/>
                <w:lang w:val="ru-RU"/>
              </w:rPr>
              <w:t>Т.в.о</w:t>
            </w:r>
            <w:proofErr w:type="spellEnd"/>
            <w:r>
              <w:rPr>
                <w:rFonts w:ascii="Times New Roman" w:hAnsi="Times New Roman" w:cs="Times New Roman"/>
                <w:b/>
                <w:sz w:val="28"/>
                <w:szCs w:val="28"/>
                <w:lang w:val="ru-RU"/>
              </w:rPr>
              <w:t xml:space="preserve">. </w:t>
            </w:r>
            <w:r>
              <w:rPr>
                <w:rFonts w:ascii="Times New Roman" w:hAnsi="Times New Roman" w:cs="Times New Roman"/>
                <w:b/>
                <w:sz w:val="28"/>
                <w:szCs w:val="28"/>
              </w:rPr>
              <w:t>Голови Державної служби геології та надр України</w:t>
            </w:r>
          </w:p>
        </w:tc>
        <w:tc>
          <w:tcPr>
            <w:tcW w:w="4928" w:type="dxa"/>
          </w:tcPr>
          <w:p w:rsidR="00BA14AE" w:rsidRDefault="00BA14AE" w:rsidP="00FC6C97">
            <w:pPr>
              <w:jc w:val="both"/>
              <w:rPr>
                <w:rFonts w:ascii="Times New Roman" w:hAnsi="Times New Roman" w:cs="Times New Roman"/>
                <w:b/>
                <w:sz w:val="28"/>
                <w:szCs w:val="28"/>
              </w:rPr>
            </w:pPr>
          </w:p>
          <w:p w:rsidR="00BA14AE" w:rsidRDefault="00BA14AE" w:rsidP="00FC6C97">
            <w:pPr>
              <w:jc w:val="right"/>
              <w:rPr>
                <w:rFonts w:ascii="Times New Roman" w:hAnsi="Times New Roman" w:cs="Times New Roman"/>
                <w:b/>
                <w:sz w:val="28"/>
                <w:szCs w:val="28"/>
              </w:rPr>
            </w:pPr>
            <w:r>
              <w:rPr>
                <w:rFonts w:ascii="Times New Roman" w:hAnsi="Times New Roman" w:cs="Times New Roman"/>
                <w:b/>
                <w:sz w:val="28"/>
                <w:szCs w:val="28"/>
              </w:rPr>
              <w:t xml:space="preserve">М.О. </w:t>
            </w:r>
            <w:proofErr w:type="spellStart"/>
            <w:r>
              <w:rPr>
                <w:rFonts w:ascii="Times New Roman" w:hAnsi="Times New Roman" w:cs="Times New Roman"/>
                <w:b/>
                <w:sz w:val="28"/>
                <w:szCs w:val="28"/>
              </w:rPr>
              <w:t>Бояркін</w:t>
            </w:r>
            <w:proofErr w:type="spellEnd"/>
          </w:p>
        </w:tc>
      </w:tr>
    </w:tbl>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BA14AE" w:rsidRPr="00AB5357" w:rsidRDefault="00BA14AE" w:rsidP="00BA14AE">
      <w:pPr>
        <w:spacing w:after="0"/>
        <w:jc w:val="both"/>
        <w:rPr>
          <w:rFonts w:ascii="Times New Roman" w:hAnsi="Times New Roman" w:cs="Times New Roman"/>
          <w:sz w:val="28"/>
          <w:szCs w:val="28"/>
        </w:rPr>
      </w:pPr>
      <w:r>
        <w:rPr>
          <w:rFonts w:ascii="Times New Roman" w:hAnsi="Times New Roman" w:cs="Times New Roman"/>
          <w:sz w:val="28"/>
          <w:szCs w:val="28"/>
        </w:rPr>
        <w:t>________________ 2015</w:t>
      </w:r>
      <w:r w:rsidRPr="00AB5357">
        <w:rPr>
          <w:rFonts w:ascii="Times New Roman" w:hAnsi="Times New Roman" w:cs="Times New Roman"/>
          <w:sz w:val="28"/>
          <w:szCs w:val="28"/>
        </w:rPr>
        <w:t xml:space="preserve"> р.</w:t>
      </w:r>
    </w:p>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BA14AE" w:rsidRDefault="00BA14AE" w:rsidP="00BA14AE">
      <w:pPr>
        <w:spacing w:after="0"/>
        <w:jc w:val="both"/>
        <w:rPr>
          <w:rFonts w:ascii="Times New Roman" w:hAnsi="Times New Roman" w:cs="Times New Roman"/>
          <w:b/>
          <w:sz w:val="28"/>
          <w:szCs w:val="28"/>
        </w:rPr>
      </w:pPr>
    </w:p>
    <w:p w:rsidR="002C53FE" w:rsidRDefault="002C53FE">
      <w:bookmarkStart w:id="0" w:name="_GoBack"/>
      <w:bookmarkEnd w:id="0"/>
    </w:p>
    <w:sectPr w:rsidR="002C5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81ECA"/>
    <w:multiLevelType w:val="hybridMultilevel"/>
    <w:tmpl w:val="4544BCBC"/>
    <w:lvl w:ilvl="0" w:tplc="1C66EB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69802B90"/>
    <w:multiLevelType w:val="singleLevel"/>
    <w:tmpl w:val="EF0AF738"/>
    <w:lvl w:ilvl="0">
      <w:start w:val="1"/>
      <w:numFmt w:val="decimal"/>
      <w:lvlText w:val="%1."/>
      <w:legacy w:legacy="1" w:legacySpace="120" w:legacyIndent="360"/>
      <w:lvlJc w:val="left"/>
      <w:pPr>
        <w:ind w:left="1065"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AE"/>
    <w:rsid w:val="002C53FE"/>
    <w:rsid w:val="00AF7ECD"/>
    <w:rsid w:val="00BA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F39C2-F1EC-4A43-9174-91F8AFE0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4AE"/>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4A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14AE"/>
    <w:pPr>
      <w:ind w:left="720"/>
      <w:contextualSpacing/>
    </w:pPr>
  </w:style>
  <w:style w:type="character" w:customStyle="1" w:styleId="rvts0">
    <w:name w:val="rvts0"/>
    <w:basedOn w:val="a0"/>
    <w:rsid w:val="00BA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6659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Gryhorash</dc:creator>
  <cp:keywords/>
  <dc:description/>
  <cp:lastModifiedBy>A Gryhorash</cp:lastModifiedBy>
  <cp:revision>1</cp:revision>
  <dcterms:created xsi:type="dcterms:W3CDTF">2015-01-31T14:47:00Z</dcterms:created>
  <dcterms:modified xsi:type="dcterms:W3CDTF">2015-01-31T14:47:00Z</dcterms:modified>
</cp:coreProperties>
</file>