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3D19E7">
      <w:pPr>
        <w:shd w:val="clear" w:color="auto" w:fill="FFFFFF"/>
        <w:ind w:left="-426" w:right="2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3D19E7">
      <w:pPr>
        <w:ind w:left="-426" w:right="2"/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>29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 жовтня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  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м. Ки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їв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777DB1">
        <w:rPr>
          <w:b w:val="0"/>
          <w:bCs w:val="0"/>
          <w:iCs/>
          <w:color w:val="000000"/>
          <w:sz w:val="28"/>
          <w:szCs w:val="28"/>
          <w:lang w:val="uk-UA"/>
        </w:rPr>
        <w:t xml:space="preserve"> 481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3D19E7">
      <w:pPr>
        <w:ind w:left="-426" w:right="2"/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3D19E7">
      <w:pPr>
        <w:ind w:left="-426" w:right="2" w:firstLine="709"/>
        <w:jc w:val="both"/>
        <w:rPr>
          <w:b w:val="0"/>
          <w:sz w:val="28"/>
          <w:szCs w:val="28"/>
          <w:lang w:val="uk-UA" w:eastAsia="uk-UA"/>
        </w:rPr>
      </w:pPr>
    </w:p>
    <w:p w:rsidR="008C0AE8" w:rsidRPr="008C0AE8" w:rsidRDefault="00C976BE" w:rsidP="003D19E7">
      <w:pPr>
        <w:ind w:left="-426" w:right="2"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EE1E40">
        <w:rPr>
          <w:b w:val="0"/>
          <w:sz w:val="28"/>
          <w:szCs w:val="28"/>
          <w:lang w:val="uk-UA" w:eastAsia="uk-UA"/>
        </w:rPr>
        <w:t xml:space="preserve"> рішення Вінницького</w:t>
      </w:r>
      <w:r w:rsidR="00486B26">
        <w:rPr>
          <w:b w:val="0"/>
          <w:sz w:val="28"/>
          <w:szCs w:val="28"/>
          <w:lang w:val="uk-UA" w:eastAsia="uk-UA"/>
        </w:rPr>
        <w:t xml:space="preserve"> окружно</w:t>
      </w:r>
      <w:r w:rsidR="00EE1E40">
        <w:rPr>
          <w:b w:val="0"/>
          <w:sz w:val="28"/>
          <w:szCs w:val="28"/>
          <w:lang w:val="uk-UA" w:eastAsia="uk-UA"/>
        </w:rPr>
        <w:t>го адміністративного суду від 18.06.2020</w:t>
      </w:r>
      <w:r w:rsidR="00486B26">
        <w:rPr>
          <w:b w:val="0"/>
          <w:sz w:val="28"/>
          <w:szCs w:val="28"/>
          <w:lang w:val="uk-UA" w:eastAsia="uk-UA"/>
        </w:rPr>
        <w:t xml:space="preserve"> залишеного без змін</w:t>
      </w:r>
      <w:r w:rsidR="00C25B55">
        <w:rPr>
          <w:b w:val="0"/>
          <w:sz w:val="28"/>
          <w:szCs w:val="28"/>
          <w:lang w:val="uk-UA" w:eastAsia="uk-UA"/>
        </w:rPr>
        <w:t>,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EE1E40">
        <w:rPr>
          <w:b w:val="0"/>
          <w:sz w:val="28"/>
          <w:szCs w:val="28"/>
          <w:lang w:val="uk-UA"/>
        </w:rPr>
        <w:t>постановою Сьомого</w:t>
      </w:r>
      <w:r w:rsidR="00535C2B" w:rsidRPr="00535C2B">
        <w:rPr>
          <w:b w:val="0"/>
          <w:sz w:val="28"/>
          <w:szCs w:val="28"/>
          <w:lang w:val="uk-UA"/>
        </w:rPr>
        <w:t xml:space="preserve"> апеляційного адміністративного суду</w:t>
      </w:r>
      <w:r w:rsidR="00535C2B">
        <w:rPr>
          <w:b w:val="0"/>
          <w:sz w:val="28"/>
          <w:szCs w:val="28"/>
          <w:lang w:val="uk-UA"/>
        </w:rPr>
        <w:t xml:space="preserve"> </w:t>
      </w:r>
      <w:r w:rsidR="00EE1E40">
        <w:rPr>
          <w:b w:val="0"/>
          <w:sz w:val="28"/>
          <w:szCs w:val="28"/>
          <w:lang w:val="uk-UA"/>
        </w:rPr>
        <w:t>від 25.09</w:t>
      </w:r>
      <w:r w:rsidR="00535C2B" w:rsidRPr="00535C2B">
        <w:rPr>
          <w:b w:val="0"/>
          <w:sz w:val="28"/>
          <w:szCs w:val="28"/>
          <w:lang w:val="uk-UA"/>
        </w:rPr>
        <w:t>.2020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EE1E40">
        <w:rPr>
          <w:b w:val="0"/>
          <w:sz w:val="28"/>
          <w:szCs w:val="28"/>
          <w:lang w:val="uk-UA"/>
        </w:rPr>
        <w:t>№ 120/1486/20-а,</w:t>
      </w:r>
      <w:r w:rsidR="008C0AE8">
        <w:rPr>
          <w:b w:val="0"/>
          <w:sz w:val="28"/>
          <w:szCs w:val="28"/>
          <w:lang w:val="uk-UA"/>
        </w:rPr>
        <w:t xml:space="preserve"> </w:t>
      </w:r>
      <w:r w:rsidR="008C0AE8" w:rsidRPr="008C0AE8">
        <w:rPr>
          <w:b w:val="0"/>
          <w:sz w:val="28"/>
          <w:szCs w:val="28"/>
          <w:lang w:val="uk-UA"/>
        </w:rPr>
        <w:t>(</w:t>
      </w:r>
      <w:r w:rsidR="00C67BD1">
        <w:rPr>
          <w:b w:val="0"/>
          <w:sz w:val="28"/>
          <w:szCs w:val="28"/>
          <w:lang w:val="uk-UA"/>
        </w:rPr>
        <w:t>протокол від 27.10.2020 № 11-РГ/</w:t>
      </w:r>
      <w:r w:rsidR="008C0AE8" w:rsidRPr="008C0AE8">
        <w:rPr>
          <w:b w:val="0"/>
          <w:sz w:val="28"/>
          <w:szCs w:val="28"/>
          <w:lang w:val="uk-UA"/>
        </w:rPr>
        <w:t>2020),</w:t>
      </w:r>
    </w:p>
    <w:p w:rsidR="001216B6" w:rsidRPr="0007046C" w:rsidRDefault="001216B6" w:rsidP="003D19E7">
      <w:pPr>
        <w:ind w:left="-426" w:right="2"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3D19E7">
      <w:pPr>
        <w:ind w:left="-426"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3D19E7">
      <w:pPr>
        <w:ind w:left="-426" w:right="2" w:firstLine="708"/>
        <w:jc w:val="center"/>
        <w:rPr>
          <w:color w:val="000000"/>
          <w:spacing w:val="41"/>
          <w:w w:val="104"/>
          <w:lang w:val="uk-UA"/>
        </w:rPr>
      </w:pPr>
    </w:p>
    <w:p w:rsidR="00EE1E40" w:rsidRPr="00EE1E40" w:rsidRDefault="00EE1E40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1E40">
        <w:rPr>
          <w:b w:val="0"/>
          <w:color w:val="000000"/>
          <w:sz w:val="28"/>
          <w:szCs w:val="28"/>
          <w:lang w:val="uk-UA"/>
        </w:rPr>
        <w:t xml:space="preserve">Надати Товариству з обмеженою відповідальністю «Компанія </w:t>
      </w:r>
      <w:proofErr w:type="spellStart"/>
      <w:r w:rsidRPr="00EE1E40">
        <w:rPr>
          <w:b w:val="0"/>
          <w:color w:val="000000"/>
          <w:sz w:val="28"/>
          <w:szCs w:val="28"/>
          <w:lang w:val="uk-UA"/>
        </w:rPr>
        <w:t>Ортус</w:t>
      </w:r>
      <w:proofErr w:type="spellEnd"/>
      <w:r w:rsidRPr="00EE1E40">
        <w:rPr>
          <w:b w:val="0"/>
          <w:color w:val="000000"/>
          <w:sz w:val="28"/>
          <w:szCs w:val="28"/>
          <w:lang w:val="uk-UA"/>
        </w:rPr>
        <w:t xml:space="preserve">» спеціальний дозвіл </w:t>
      </w:r>
      <w:r w:rsidR="008B2F13" w:rsidRPr="00082B71">
        <w:rPr>
          <w:b w:val="0"/>
          <w:sz w:val="28"/>
          <w:szCs w:val="28"/>
          <w:lang w:val="uk-UA"/>
        </w:rPr>
        <w:t xml:space="preserve">на користування надрами з метою видобування вапняків ділянки «Кар`єрна» </w:t>
      </w:r>
      <w:proofErr w:type="spellStart"/>
      <w:r w:rsidR="008B2F13" w:rsidRPr="00082B71">
        <w:rPr>
          <w:b w:val="0"/>
          <w:sz w:val="28"/>
          <w:szCs w:val="28"/>
          <w:lang w:val="uk-UA"/>
        </w:rPr>
        <w:t>Дмитрашків-Трудівського</w:t>
      </w:r>
      <w:proofErr w:type="spellEnd"/>
      <w:r w:rsidR="008B2F13" w:rsidRPr="00082B71">
        <w:rPr>
          <w:b w:val="0"/>
          <w:sz w:val="28"/>
          <w:szCs w:val="28"/>
          <w:lang w:val="uk-UA"/>
        </w:rPr>
        <w:t xml:space="preserve"> родовища</w:t>
      </w:r>
      <w:r w:rsidR="00082B71">
        <w:rPr>
          <w:b w:val="0"/>
          <w:sz w:val="28"/>
          <w:szCs w:val="28"/>
          <w:lang w:val="uk-UA"/>
        </w:rPr>
        <w:t xml:space="preserve">, </w:t>
      </w:r>
      <w:r w:rsidR="00082B71" w:rsidRPr="00082B71">
        <w:rPr>
          <w:b w:val="0"/>
          <w:sz w:val="28"/>
          <w:szCs w:val="28"/>
          <w:lang w:val="uk-UA"/>
        </w:rPr>
        <w:t>що знаходиться</w:t>
      </w:r>
      <w:r w:rsidR="008B2F13" w:rsidRPr="00082B71">
        <w:rPr>
          <w:b w:val="0"/>
          <w:sz w:val="28"/>
          <w:szCs w:val="28"/>
          <w:lang w:val="uk-UA"/>
        </w:rPr>
        <w:t xml:space="preserve"> у </w:t>
      </w:r>
      <w:proofErr w:type="spellStart"/>
      <w:r w:rsidRPr="00EE1E40">
        <w:rPr>
          <w:b w:val="0"/>
          <w:color w:val="000000"/>
          <w:sz w:val="28"/>
          <w:szCs w:val="28"/>
          <w:lang w:val="uk-UA"/>
        </w:rPr>
        <w:t>Піщансько</w:t>
      </w:r>
      <w:r w:rsidR="00082B71">
        <w:rPr>
          <w:b w:val="0"/>
          <w:color w:val="000000"/>
          <w:sz w:val="28"/>
          <w:szCs w:val="28"/>
          <w:lang w:val="uk-UA"/>
        </w:rPr>
        <w:t>му</w:t>
      </w:r>
      <w:proofErr w:type="spellEnd"/>
      <w:r w:rsidRPr="00EE1E40">
        <w:rPr>
          <w:b w:val="0"/>
          <w:color w:val="000000"/>
          <w:sz w:val="28"/>
          <w:szCs w:val="28"/>
          <w:lang w:val="uk-UA"/>
        </w:rPr>
        <w:t xml:space="preserve"> район</w:t>
      </w:r>
      <w:r w:rsidR="00082B71">
        <w:rPr>
          <w:b w:val="0"/>
          <w:color w:val="000000"/>
          <w:sz w:val="28"/>
          <w:szCs w:val="28"/>
          <w:lang w:val="uk-UA"/>
        </w:rPr>
        <w:t>і</w:t>
      </w:r>
      <w:r w:rsidRPr="00EE1E40">
        <w:rPr>
          <w:b w:val="0"/>
          <w:color w:val="000000"/>
          <w:sz w:val="28"/>
          <w:szCs w:val="28"/>
          <w:lang w:val="uk-UA"/>
        </w:rPr>
        <w:t xml:space="preserve"> Вінницької області</w:t>
      </w:r>
      <w:r w:rsidR="00082B71">
        <w:rPr>
          <w:b w:val="0"/>
          <w:color w:val="000000"/>
          <w:sz w:val="28"/>
          <w:szCs w:val="28"/>
          <w:lang w:val="uk-UA"/>
        </w:rPr>
        <w:t>,</w:t>
      </w:r>
      <w:r w:rsidRPr="00EE1E40">
        <w:rPr>
          <w:b w:val="0"/>
          <w:color w:val="000000"/>
          <w:sz w:val="28"/>
          <w:szCs w:val="28"/>
          <w:lang w:val="uk-UA"/>
        </w:rPr>
        <w:t xml:space="preserve"> </w:t>
      </w:r>
      <w:r w:rsidR="008B2F13">
        <w:rPr>
          <w:b w:val="0"/>
          <w:color w:val="000000"/>
          <w:sz w:val="28"/>
          <w:szCs w:val="28"/>
          <w:lang w:val="uk-UA"/>
        </w:rPr>
        <w:t>строком</w:t>
      </w:r>
      <w:r w:rsidRPr="00EE1E40">
        <w:rPr>
          <w:b w:val="0"/>
          <w:color w:val="000000"/>
          <w:sz w:val="28"/>
          <w:szCs w:val="28"/>
          <w:lang w:val="uk-UA"/>
        </w:rPr>
        <w:t xml:space="preserve"> на 20 років.</w:t>
      </w:r>
    </w:p>
    <w:p w:rsidR="007123BE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           </w:t>
      </w:r>
      <w:r w:rsidR="003D19E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Роман ОПІМАХ</w:t>
      </w: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2B71"/>
    <w:rsid w:val="000C3E37"/>
    <w:rsid w:val="000E2437"/>
    <w:rsid w:val="001216B6"/>
    <w:rsid w:val="0013397C"/>
    <w:rsid w:val="00150864"/>
    <w:rsid w:val="001645B4"/>
    <w:rsid w:val="001A2D74"/>
    <w:rsid w:val="002848E6"/>
    <w:rsid w:val="002D4DC6"/>
    <w:rsid w:val="0031725C"/>
    <w:rsid w:val="003D19E7"/>
    <w:rsid w:val="00415640"/>
    <w:rsid w:val="00417ED1"/>
    <w:rsid w:val="00434001"/>
    <w:rsid w:val="00486B26"/>
    <w:rsid w:val="004D7647"/>
    <w:rsid w:val="00535C2B"/>
    <w:rsid w:val="00541C9C"/>
    <w:rsid w:val="005A1847"/>
    <w:rsid w:val="00662C99"/>
    <w:rsid w:val="00665BCB"/>
    <w:rsid w:val="0066638C"/>
    <w:rsid w:val="007123BE"/>
    <w:rsid w:val="00720872"/>
    <w:rsid w:val="007707B1"/>
    <w:rsid w:val="00777DB1"/>
    <w:rsid w:val="00781841"/>
    <w:rsid w:val="008476EA"/>
    <w:rsid w:val="008B2F13"/>
    <w:rsid w:val="008B4C1A"/>
    <w:rsid w:val="008C0AE8"/>
    <w:rsid w:val="00962167"/>
    <w:rsid w:val="009B7546"/>
    <w:rsid w:val="00AE73D3"/>
    <w:rsid w:val="00AF13E0"/>
    <w:rsid w:val="00AF3DF5"/>
    <w:rsid w:val="00B14947"/>
    <w:rsid w:val="00B241E4"/>
    <w:rsid w:val="00B36B6C"/>
    <w:rsid w:val="00BC2C68"/>
    <w:rsid w:val="00BC4970"/>
    <w:rsid w:val="00C177A3"/>
    <w:rsid w:val="00C2011E"/>
    <w:rsid w:val="00C255B2"/>
    <w:rsid w:val="00C25B55"/>
    <w:rsid w:val="00C67BD1"/>
    <w:rsid w:val="00C740D3"/>
    <w:rsid w:val="00C84274"/>
    <w:rsid w:val="00C8568E"/>
    <w:rsid w:val="00C976BE"/>
    <w:rsid w:val="00CA04A4"/>
    <w:rsid w:val="00CD5186"/>
    <w:rsid w:val="00D00BEC"/>
    <w:rsid w:val="00D11622"/>
    <w:rsid w:val="00D166BB"/>
    <w:rsid w:val="00DF3F54"/>
    <w:rsid w:val="00EC2696"/>
    <w:rsid w:val="00EC29AE"/>
    <w:rsid w:val="00EE1E40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FBB2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6338-A97B-431C-BD1B-2E2CC4C5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O Shevchenko</cp:lastModifiedBy>
  <cp:revision>5</cp:revision>
  <cp:lastPrinted>2020-10-30T10:06:00Z</cp:lastPrinted>
  <dcterms:created xsi:type="dcterms:W3CDTF">2020-10-22T12:30:00Z</dcterms:created>
  <dcterms:modified xsi:type="dcterms:W3CDTF">2020-10-30T10:07:00Z</dcterms:modified>
</cp:coreProperties>
</file>