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AE6755">
        <w:rPr>
          <w:b w:val="0"/>
          <w:bCs w:val="0"/>
          <w:iCs/>
          <w:color w:val="000000"/>
          <w:sz w:val="28"/>
          <w:szCs w:val="28"/>
          <w:lang w:val="uk-UA"/>
        </w:rPr>
        <w:t>06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bookmarkStart w:id="0" w:name="_GoBack"/>
      <w:r w:rsidR="00AE6755" w:rsidRPr="00AE6755">
        <w:rPr>
          <w:b w:val="0"/>
          <w:bCs w:val="0"/>
          <w:iCs/>
          <w:color w:val="000000"/>
          <w:sz w:val="28"/>
          <w:szCs w:val="28"/>
          <w:u w:val="single"/>
          <w:lang w:val="uk-UA"/>
        </w:rPr>
        <w:t>серпня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bookmarkEnd w:id="0"/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р</w:t>
      </w:r>
      <w:r w:rsidR="00143C5F">
        <w:rPr>
          <w:b w:val="0"/>
          <w:bCs w:val="0"/>
          <w:iCs/>
          <w:color w:val="000000"/>
          <w:sz w:val="28"/>
          <w:szCs w:val="28"/>
          <w:lang w:val="uk-UA"/>
        </w:rPr>
        <w:t xml:space="preserve">оку    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м. Київ                                       </w:t>
      </w:r>
      <w:r w:rsidR="00143C5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AE6755">
        <w:rPr>
          <w:b w:val="0"/>
          <w:bCs w:val="0"/>
          <w:iCs/>
          <w:color w:val="000000"/>
          <w:sz w:val="28"/>
          <w:szCs w:val="28"/>
          <w:lang w:val="uk-UA"/>
        </w:rPr>
        <w:t>№ 573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1216B6" w:rsidRPr="0007046C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7707B1">
        <w:rPr>
          <w:b w:val="0"/>
          <w:bCs w:val="0"/>
          <w:color w:val="000000"/>
          <w:sz w:val="28"/>
          <w:szCs w:val="28"/>
          <w:lang w:val="uk-UA"/>
        </w:rPr>
        <w:t>Відповідно до</w:t>
      </w:r>
      <w:r w:rsidR="00DA30F8">
        <w:rPr>
          <w:b w:val="0"/>
          <w:bCs w:val="0"/>
          <w:color w:val="000000"/>
          <w:sz w:val="28"/>
          <w:szCs w:val="28"/>
          <w:lang w:val="uk-UA"/>
        </w:rPr>
        <w:t xml:space="preserve"> принципу мовчазної згоди, встановленого частиною шостої статті 4-1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7707B1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7707B1">
        <w:rPr>
          <w:b w:val="0"/>
          <w:bCs w:val="0"/>
          <w:sz w:val="28"/>
          <w:szCs w:val="28"/>
          <w:lang w:val="uk-UA"/>
        </w:rPr>
        <w:t xml:space="preserve">Порядку </w:t>
      </w:r>
      <w:r w:rsidRPr="007707B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7707B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7707B1">
        <w:rPr>
          <w:b w:val="0"/>
          <w:sz w:val="28"/>
          <w:szCs w:val="28"/>
          <w:lang w:val="uk-UA"/>
        </w:rPr>
        <w:t>від 30.05.2011 № 615</w:t>
      </w:r>
      <w:r w:rsidR="00737BCB">
        <w:rPr>
          <w:b w:val="0"/>
          <w:sz w:val="28"/>
          <w:szCs w:val="28"/>
          <w:lang w:val="uk-UA"/>
        </w:rPr>
        <w:t xml:space="preserve"> (</w:t>
      </w:r>
      <w:r w:rsidR="00737BCB" w:rsidRPr="00737BCB">
        <w:rPr>
          <w:b w:val="0"/>
          <w:sz w:val="28"/>
          <w:szCs w:val="28"/>
          <w:lang w:val="uk-UA"/>
        </w:rPr>
        <w:t>в редакції постанови Кабінету Міністрів України від 19.02.2020 № 124)</w:t>
      </w:r>
      <w:r w:rsidRPr="007707B1">
        <w:rPr>
          <w:b w:val="0"/>
          <w:bCs w:val="0"/>
          <w:sz w:val="28"/>
          <w:szCs w:val="28"/>
          <w:lang w:val="uk-UA"/>
        </w:rPr>
        <w:t xml:space="preserve">, </w:t>
      </w:r>
      <w:r w:rsidRPr="007707B1">
        <w:rPr>
          <w:b w:val="0"/>
          <w:sz w:val="28"/>
          <w:szCs w:val="28"/>
          <w:lang w:val="uk-UA" w:eastAsia="uk-UA"/>
        </w:rPr>
        <w:t>на виконання</w:t>
      </w:r>
      <w:r w:rsidR="00EC2696" w:rsidRPr="007707B1">
        <w:rPr>
          <w:b w:val="0"/>
          <w:sz w:val="28"/>
          <w:szCs w:val="28"/>
          <w:lang w:val="uk-UA" w:eastAsia="uk-UA"/>
        </w:rPr>
        <w:t xml:space="preserve"> </w:t>
      </w:r>
      <w:r w:rsidR="00EC2696" w:rsidRPr="007707B1">
        <w:rPr>
          <w:b w:val="0"/>
          <w:sz w:val="28"/>
          <w:szCs w:val="28"/>
          <w:lang w:val="uk-UA"/>
        </w:rPr>
        <w:t>рішення</w:t>
      </w:r>
      <w:r w:rsidR="007707B1" w:rsidRPr="007707B1">
        <w:rPr>
          <w:b w:val="0"/>
          <w:sz w:val="28"/>
          <w:szCs w:val="28"/>
          <w:lang w:val="uk-UA"/>
        </w:rPr>
        <w:t xml:space="preserve"> </w:t>
      </w:r>
      <w:r w:rsidR="00C80C6C">
        <w:rPr>
          <w:b w:val="0"/>
          <w:sz w:val="28"/>
          <w:szCs w:val="28"/>
          <w:lang w:val="uk-UA"/>
        </w:rPr>
        <w:t>О</w:t>
      </w:r>
      <w:r w:rsidR="00EC2696" w:rsidRPr="007707B1">
        <w:rPr>
          <w:b w:val="0"/>
          <w:sz w:val="28"/>
          <w:szCs w:val="28"/>
          <w:lang w:val="uk-UA"/>
        </w:rPr>
        <w:t>кружно</w:t>
      </w:r>
      <w:r w:rsidR="007707B1" w:rsidRPr="007707B1">
        <w:rPr>
          <w:b w:val="0"/>
          <w:sz w:val="28"/>
          <w:szCs w:val="28"/>
          <w:lang w:val="uk-UA"/>
        </w:rPr>
        <w:t>го адміністративного суду</w:t>
      </w:r>
      <w:r w:rsidR="00C80C6C">
        <w:rPr>
          <w:b w:val="0"/>
          <w:sz w:val="28"/>
          <w:szCs w:val="28"/>
          <w:lang w:val="uk-UA"/>
        </w:rPr>
        <w:t xml:space="preserve"> м. Києва від 22.05.2018 залишеного без змін постановою Шостого апеляційного адміністративного суду </w:t>
      </w:r>
      <w:r w:rsidR="00737BCB">
        <w:rPr>
          <w:b w:val="0"/>
          <w:sz w:val="28"/>
          <w:szCs w:val="28"/>
          <w:lang w:val="uk-UA"/>
        </w:rPr>
        <w:br/>
      </w:r>
      <w:r w:rsidR="00C80C6C">
        <w:rPr>
          <w:b w:val="0"/>
          <w:sz w:val="28"/>
          <w:szCs w:val="28"/>
          <w:lang w:val="uk-UA"/>
        </w:rPr>
        <w:t>від 13.11.2018</w:t>
      </w:r>
      <w:r w:rsidR="001216B6" w:rsidRPr="007707B1">
        <w:rPr>
          <w:b w:val="0"/>
          <w:sz w:val="28"/>
          <w:szCs w:val="28"/>
          <w:lang w:val="uk-UA" w:eastAsia="uk-UA"/>
        </w:rPr>
        <w:t xml:space="preserve"> </w:t>
      </w:r>
      <w:r w:rsidR="007707B1" w:rsidRPr="007707B1">
        <w:rPr>
          <w:b w:val="0"/>
          <w:sz w:val="28"/>
          <w:szCs w:val="28"/>
          <w:lang w:val="uk-UA"/>
        </w:rPr>
        <w:t xml:space="preserve">у справі </w:t>
      </w:r>
      <w:r w:rsidR="00147D23" w:rsidRPr="00143C5F">
        <w:rPr>
          <w:b w:val="0"/>
          <w:sz w:val="28"/>
          <w:szCs w:val="28"/>
          <w:lang w:val="uk-UA"/>
        </w:rPr>
        <w:t>№</w:t>
      </w:r>
      <w:r w:rsidR="00AA7DC6">
        <w:rPr>
          <w:b w:val="0"/>
          <w:sz w:val="28"/>
          <w:szCs w:val="28"/>
          <w:lang w:val="uk-UA"/>
        </w:rPr>
        <w:t xml:space="preserve"> </w:t>
      </w:r>
      <w:r w:rsidR="00147D23" w:rsidRPr="00143C5F">
        <w:rPr>
          <w:b w:val="0"/>
          <w:sz w:val="28"/>
          <w:szCs w:val="28"/>
          <w:lang w:val="uk-UA"/>
        </w:rPr>
        <w:t>826/2685/18</w:t>
      </w:r>
      <w:r w:rsidR="00602788">
        <w:rPr>
          <w:b w:val="0"/>
          <w:sz w:val="28"/>
          <w:szCs w:val="28"/>
          <w:lang w:val="uk-UA"/>
        </w:rPr>
        <w:t>, враховуючи постанову</w:t>
      </w:r>
      <w:r w:rsidR="00147D23">
        <w:rPr>
          <w:b w:val="0"/>
          <w:sz w:val="28"/>
          <w:szCs w:val="28"/>
          <w:lang w:val="uk-UA"/>
        </w:rPr>
        <w:t xml:space="preserve"> Шостого апеляційного адмініст</w:t>
      </w:r>
      <w:r w:rsidR="003B1B3F">
        <w:rPr>
          <w:b w:val="0"/>
          <w:sz w:val="28"/>
          <w:szCs w:val="28"/>
          <w:lang w:val="uk-UA"/>
        </w:rPr>
        <w:t>ративного суду від 24.02.2021</w:t>
      </w:r>
      <w:r w:rsidR="002938C3">
        <w:rPr>
          <w:b w:val="0"/>
          <w:sz w:val="28"/>
          <w:szCs w:val="28"/>
          <w:lang w:val="uk-UA"/>
        </w:rPr>
        <w:t>,</w:t>
      </w:r>
      <w:r w:rsidR="00147D23">
        <w:rPr>
          <w:b w:val="0"/>
          <w:sz w:val="28"/>
          <w:szCs w:val="28"/>
          <w:lang w:val="uk-UA"/>
        </w:rPr>
        <w:t xml:space="preserve"> ухвалу Окружного адміністративного суду</w:t>
      </w:r>
      <w:r w:rsidR="002938C3">
        <w:rPr>
          <w:b w:val="0"/>
          <w:sz w:val="28"/>
          <w:szCs w:val="28"/>
          <w:lang w:val="uk-UA"/>
        </w:rPr>
        <w:t xml:space="preserve"> м. Києва</w:t>
      </w:r>
      <w:r w:rsidR="007707B1">
        <w:rPr>
          <w:b w:val="0"/>
          <w:sz w:val="28"/>
          <w:szCs w:val="28"/>
          <w:lang w:val="uk-UA"/>
        </w:rPr>
        <w:t xml:space="preserve"> </w:t>
      </w:r>
      <w:r w:rsidR="00963255">
        <w:rPr>
          <w:b w:val="0"/>
          <w:sz w:val="28"/>
          <w:szCs w:val="28"/>
          <w:lang w:val="uk-UA"/>
        </w:rPr>
        <w:t>від 30</w:t>
      </w:r>
      <w:r w:rsidR="00147D23">
        <w:rPr>
          <w:b w:val="0"/>
          <w:sz w:val="28"/>
          <w:szCs w:val="28"/>
          <w:lang w:val="uk-UA"/>
        </w:rPr>
        <w:t>.04.2021</w:t>
      </w:r>
      <w:r w:rsidR="007707B1">
        <w:rPr>
          <w:b w:val="0"/>
          <w:sz w:val="28"/>
          <w:szCs w:val="28"/>
          <w:lang w:val="uk-UA"/>
        </w:rPr>
        <w:t>,</w:t>
      </w:r>
      <w:r w:rsidR="002938C3">
        <w:rPr>
          <w:b w:val="0"/>
          <w:sz w:val="28"/>
          <w:szCs w:val="28"/>
          <w:lang w:val="uk-UA"/>
        </w:rPr>
        <w:t xml:space="preserve"> ухвалу Окружного адміністративного суду м. Києва від 11.05.2021, ухвалу Окружного адміністративного суду м. Києва від 27.07.2021</w:t>
      </w:r>
      <w:r w:rsidR="00FC49A3">
        <w:rPr>
          <w:b w:val="0"/>
          <w:sz w:val="28"/>
          <w:szCs w:val="28"/>
          <w:lang w:val="uk-UA"/>
        </w:rPr>
        <w:t xml:space="preserve"> з урахуванням рекомендацій Робочої групи з питань надрокористування </w:t>
      </w:r>
      <w:r w:rsidR="00143C5F" w:rsidRPr="00737BCB">
        <w:rPr>
          <w:b w:val="0"/>
          <w:sz w:val="28"/>
          <w:szCs w:val="28"/>
          <w:lang w:val="uk-UA"/>
        </w:rPr>
        <w:t xml:space="preserve">(протокол від 05.08.2021 </w:t>
      </w:r>
      <w:r w:rsidR="00737BCB">
        <w:rPr>
          <w:b w:val="0"/>
          <w:sz w:val="28"/>
          <w:szCs w:val="28"/>
          <w:lang w:val="uk-UA"/>
        </w:rPr>
        <w:br/>
      </w:r>
      <w:r w:rsidR="00143C5F" w:rsidRPr="00737BCB">
        <w:rPr>
          <w:b w:val="0"/>
          <w:sz w:val="28"/>
          <w:szCs w:val="28"/>
          <w:lang w:val="uk-UA"/>
        </w:rPr>
        <w:t>№ 17 - РГ/</w:t>
      </w:r>
      <w:r w:rsidR="00FC49A3" w:rsidRPr="00737BCB">
        <w:rPr>
          <w:b w:val="0"/>
          <w:sz w:val="28"/>
          <w:szCs w:val="28"/>
          <w:lang w:val="uk-UA"/>
        </w:rPr>
        <w:t>2021).</w:t>
      </w:r>
    </w:p>
    <w:p w:rsidR="00DA30F8" w:rsidRDefault="00DA30F8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963255" w:rsidRDefault="00DA30F8" w:rsidP="00963255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2938C3"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 xml:space="preserve"> Спільному підприємству</w:t>
      </w:r>
      <w:r w:rsidR="00737BC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7BCB" w:rsidRPr="002938C3">
        <w:rPr>
          <w:b w:val="0"/>
          <w:bCs w:val="0"/>
          <w:color w:val="000000"/>
          <w:sz w:val="28"/>
          <w:szCs w:val="28"/>
          <w:lang w:val="uk-UA"/>
        </w:rPr>
        <w:t>«Бориславська нафтова компанія»</w:t>
      </w:r>
      <w:r w:rsidR="00E575AE" w:rsidRPr="002938C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7BCB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E575AE" w:rsidRPr="002938C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формі Товариства з обмеженою відповідальністю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7BCB">
        <w:rPr>
          <w:b w:val="0"/>
          <w:bCs w:val="0"/>
          <w:color w:val="000000"/>
          <w:sz w:val="28"/>
          <w:szCs w:val="28"/>
          <w:lang w:val="uk-UA"/>
        </w:rPr>
        <w:br/>
      </w:r>
      <w:r w:rsidR="002938C3">
        <w:rPr>
          <w:b w:val="0"/>
          <w:bCs w:val="0"/>
          <w:color w:val="000000"/>
          <w:sz w:val="28"/>
          <w:szCs w:val="28"/>
          <w:lang w:val="uk-UA"/>
        </w:rPr>
        <w:t>(код ЄДРПОУ 22402928</w:t>
      </w:r>
      <w:r w:rsidR="00E575AE" w:rsidRPr="002938C3">
        <w:rPr>
          <w:b w:val="0"/>
          <w:bCs w:val="0"/>
          <w:color w:val="000000"/>
          <w:sz w:val="28"/>
          <w:szCs w:val="28"/>
          <w:lang w:val="uk-UA"/>
        </w:rPr>
        <w:t>)</w:t>
      </w:r>
      <w:r w:rsidR="00143C5F">
        <w:rPr>
          <w:b w:val="0"/>
          <w:bCs w:val="0"/>
          <w:color w:val="000000"/>
          <w:sz w:val="28"/>
          <w:szCs w:val="28"/>
          <w:lang w:val="uk-UA"/>
        </w:rPr>
        <w:t>,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 xml:space="preserve"> з урахуванням</w:t>
      </w:r>
      <w:r w:rsidR="00F05C33" w:rsidRPr="002938C3">
        <w:rPr>
          <w:b w:val="0"/>
          <w:bCs w:val="0"/>
          <w:color w:val="000000"/>
          <w:sz w:val="28"/>
          <w:szCs w:val="28"/>
          <w:lang w:val="uk-UA"/>
        </w:rPr>
        <w:t xml:space="preserve"> принципу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 xml:space="preserve"> мовчазної згоди встановленого частиною шостої статті</w:t>
      </w:r>
      <w:r w:rsidR="00143C5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>4-1 Закону України «Про дозвільну систему у сфері господарської діяльності»</w:t>
      </w:r>
      <w:r w:rsidR="00143C5F">
        <w:rPr>
          <w:b w:val="0"/>
          <w:bCs w:val="0"/>
          <w:color w:val="000000"/>
          <w:sz w:val="28"/>
          <w:szCs w:val="28"/>
          <w:lang w:val="uk-UA"/>
        </w:rPr>
        <w:t>,</w:t>
      </w:r>
      <w:r w:rsidRPr="002938C3">
        <w:rPr>
          <w:b w:val="0"/>
          <w:bCs w:val="0"/>
          <w:color w:val="000000"/>
          <w:sz w:val="28"/>
          <w:szCs w:val="28"/>
          <w:lang w:val="uk-UA"/>
        </w:rPr>
        <w:t xml:space="preserve"> строк дії спеціального дозволу </w:t>
      </w:r>
      <w:r w:rsidR="00737BCB">
        <w:rPr>
          <w:b w:val="0"/>
          <w:bCs w:val="0"/>
          <w:color w:val="000000"/>
          <w:sz w:val="28"/>
          <w:szCs w:val="28"/>
          <w:lang w:val="uk-UA"/>
        </w:rPr>
        <w:t xml:space="preserve">на користування надрами </w:t>
      </w:r>
      <w:r w:rsidR="00143C5F" w:rsidRPr="002938C3">
        <w:rPr>
          <w:b w:val="0"/>
          <w:bCs w:val="0"/>
          <w:color w:val="000000"/>
          <w:sz w:val="28"/>
          <w:szCs w:val="28"/>
          <w:lang w:val="uk-UA"/>
        </w:rPr>
        <w:t xml:space="preserve">від </w:t>
      </w:r>
      <w:r w:rsidR="00143C5F" w:rsidRPr="00737BCB">
        <w:rPr>
          <w:b w:val="0"/>
          <w:bCs w:val="0"/>
          <w:color w:val="000000"/>
          <w:sz w:val="28"/>
          <w:szCs w:val="28"/>
          <w:lang w:val="uk-UA"/>
        </w:rPr>
        <w:t xml:space="preserve">20.01.1998 року </w:t>
      </w:r>
      <w:r w:rsidRPr="00737BCB">
        <w:rPr>
          <w:b w:val="0"/>
          <w:bCs w:val="0"/>
          <w:color w:val="000000"/>
          <w:sz w:val="28"/>
          <w:szCs w:val="28"/>
          <w:lang w:val="uk-UA"/>
        </w:rPr>
        <w:t>№ 1211</w:t>
      </w:r>
      <w:r w:rsidR="00963255">
        <w:rPr>
          <w:b w:val="0"/>
          <w:bCs w:val="0"/>
          <w:color w:val="000000"/>
          <w:sz w:val="28"/>
          <w:szCs w:val="28"/>
          <w:lang w:val="uk-UA"/>
        </w:rPr>
        <w:t xml:space="preserve"> (переоформлено)</w:t>
      </w:r>
      <w:r w:rsidR="002472D2" w:rsidRPr="00143C5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472D2">
        <w:rPr>
          <w:b w:val="0"/>
          <w:bCs w:val="0"/>
          <w:color w:val="000000"/>
          <w:sz w:val="28"/>
          <w:szCs w:val="28"/>
          <w:lang w:val="uk-UA"/>
        </w:rPr>
        <w:t>з метою видобування</w:t>
      </w:r>
      <w:r w:rsidR="001E05F2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37BCB">
        <w:rPr>
          <w:b w:val="0"/>
          <w:bCs w:val="0"/>
          <w:color w:val="000000"/>
          <w:sz w:val="28"/>
          <w:szCs w:val="28"/>
          <w:lang w:val="uk-UA"/>
        </w:rPr>
        <w:t>нафти, газу</w:t>
      </w:r>
      <w:r w:rsidR="00AA7DC6">
        <w:rPr>
          <w:b w:val="0"/>
          <w:bCs w:val="0"/>
          <w:color w:val="000000"/>
          <w:sz w:val="28"/>
          <w:szCs w:val="28"/>
          <w:lang w:val="uk-UA"/>
        </w:rPr>
        <w:t>, розчиненого у</w:t>
      </w:r>
      <w:r w:rsidR="002472D2">
        <w:rPr>
          <w:b w:val="0"/>
          <w:bCs w:val="0"/>
          <w:color w:val="000000"/>
          <w:sz w:val="28"/>
          <w:szCs w:val="28"/>
          <w:lang w:val="uk-UA"/>
        </w:rPr>
        <w:t xml:space="preserve"> нафті, </w:t>
      </w:r>
      <w:r w:rsidR="00E854EA" w:rsidRPr="002938C3">
        <w:rPr>
          <w:b w:val="0"/>
          <w:bCs w:val="0"/>
          <w:color w:val="000000"/>
          <w:sz w:val="28"/>
          <w:szCs w:val="28"/>
          <w:lang w:val="uk-UA"/>
        </w:rPr>
        <w:t>Стинавського родовища</w:t>
      </w:r>
      <w:r w:rsidR="0003268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6325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                              </w:t>
      </w:r>
      <w:r w:rsidR="00032689" w:rsidRPr="00963255">
        <w:rPr>
          <w:b w:val="0"/>
          <w:bCs w:val="0"/>
          <w:color w:val="000000"/>
          <w:sz w:val="28"/>
          <w:szCs w:val="28"/>
          <w:lang w:val="uk-UA"/>
        </w:rPr>
        <w:t>(в інтервалі</w:t>
      </w:r>
      <w:r w:rsidR="00963255" w:rsidRPr="0096325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32689" w:rsidRPr="00963255">
        <w:rPr>
          <w:b w:val="0"/>
          <w:bCs w:val="0"/>
          <w:color w:val="000000"/>
          <w:sz w:val="28"/>
          <w:szCs w:val="28"/>
          <w:lang w:val="uk-UA"/>
        </w:rPr>
        <w:t>глибин 2800</w:t>
      </w:r>
      <w:r w:rsidR="00AA7DC6" w:rsidRPr="00963255">
        <w:rPr>
          <w:b w:val="0"/>
          <w:bCs w:val="0"/>
          <w:color w:val="000000"/>
          <w:sz w:val="28"/>
          <w:szCs w:val="28"/>
          <w:lang w:val="uk-UA"/>
        </w:rPr>
        <w:t xml:space="preserve"> – </w:t>
      </w:r>
      <w:r w:rsidR="00032689" w:rsidRPr="00963255">
        <w:rPr>
          <w:b w:val="0"/>
          <w:bCs w:val="0"/>
          <w:color w:val="000000"/>
          <w:sz w:val="28"/>
          <w:szCs w:val="28"/>
          <w:lang w:val="uk-UA"/>
        </w:rPr>
        <w:t>3600 м)</w:t>
      </w:r>
      <w:r w:rsidR="00143C5F" w:rsidRPr="00963255">
        <w:rPr>
          <w:b w:val="0"/>
          <w:bCs w:val="0"/>
          <w:color w:val="000000"/>
          <w:sz w:val="28"/>
          <w:szCs w:val="28"/>
          <w:lang w:val="uk-UA"/>
        </w:rPr>
        <w:t>, яке розташоване</w:t>
      </w:r>
      <w:r w:rsidR="002472D2" w:rsidRPr="00963255">
        <w:rPr>
          <w:b w:val="0"/>
          <w:bCs w:val="0"/>
          <w:color w:val="000000"/>
          <w:sz w:val="28"/>
          <w:szCs w:val="28"/>
          <w:lang w:val="uk-UA"/>
        </w:rPr>
        <w:t xml:space="preserve"> у Львівській області, </w:t>
      </w:r>
      <w:r w:rsidR="00737BCB" w:rsidRPr="00963255">
        <w:rPr>
          <w:b w:val="0"/>
          <w:bCs w:val="0"/>
          <w:color w:val="000000"/>
          <w:sz w:val="28"/>
          <w:szCs w:val="28"/>
          <w:lang w:val="uk-UA"/>
        </w:rPr>
        <w:t xml:space="preserve">на </w:t>
      </w:r>
      <w:r w:rsidR="00963255">
        <w:rPr>
          <w:b w:val="0"/>
          <w:bCs w:val="0"/>
          <w:color w:val="000000"/>
          <w:sz w:val="28"/>
          <w:szCs w:val="28"/>
          <w:lang w:val="uk-UA"/>
        </w:rPr>
        <w:t xml:space="preserve">                   </w:t>
      </w:r>
      <w:r w:rsidR="00737BCB" w:rsidRPr="00963255">
        <w:rPr>
          <w:b w:val="0"/>
          <w:bCs w:val="0"/>
          <w:color w:val="000000"/>
          <w:sz w:val="28"/>
          <w:szCs w:val="28"/>
          <w:lang w:val="uk-UA"/>
        </w:rPr>
        <w:t>20 (двадцять) років</w:t>
      </w:r>
      <w:r w:rsidR="002938C3" w:rsidRPr="00963255">
        <w:rPr>
          <w:b w:val="0"/>
          <w:color w:val="000000"/>
          <w:sz w:val="28"/>
          <w:szCs w:val="28"/>
          <w:lang w:val="uk-UA" w:eastAsia="uk-UA"/>
        </w:rPr>
        <w:t xml:space="preserve"> </w:t>
      </w:r>
      <w:r w:rsidR="00737BCB" w:rsidRPr="00963255">
        <w:rPr>
          <w:b w:val="0"/>
          <w:color w:val="000000"/>
          <w:sz w:val="28"/>
          <w:szCs w:val="28"/>
          <w:lang w:val="uk-UA" w:eastAsia="uk-UA"/>
        </w:rPr>
        <w:t>(</w:t>
      </w:r>
      <w:r w:rsidR="002938C3" w:rsidRPr="00963255">
        <w:rPr>
          <w:b w:val="0"/>
          <w:color w:val="000000"/>
          <w:sz w:val="28"/>
          <w:szCs w:val="28"/>
          <w:lang w:val="uk-UA" w:eastAsia="uk-UA"/>
        </w:rPr>
        <w:t>до 20 січня 2038 року</w:t>
      </w:r>
      <w:r w:rsidR="00737BCB" w:rsidRPr="00963255">
        <w:rPr>
          <w:b w:val="0"/>
          <w:color w:val="000000"/>
          <w:sz w:val="28"/>
          <w:szCs w:val="28"/>
          <w:lang w:val="uk-UA" w:eastAsia="uk-UA"/>
        </w:rPr>
        <w:t>)</w:t>
      </w:r>
      <w:r w:rsidR="002938C3" w:rsidRPr="00963255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493C2F" w:rsidRDefault="007123BE" w:rsidP="00BF1034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BF1034">
      <w:pPr>
        <w:shd w:val="clear" w:color="auto" w:fill="FFFFFF"/>
        <w:spacing w:line="317" w:lineRule="exact"/>
        <w:ind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2472D2" w:rsidRPr="00A10F43" w:rsidRDefault="002472D2" w:rsidP="00A10F43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sectPr w:rsidR="002472D2" w:rsidRPr="00A10F43" w:rsidSect="006B5E50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294"/>
    <w:rsid w:val="000226BB"/>
    <w:rsid w:val="00032689"/>
    <w:rsid w:val="0007046C"/>
    <w:rsid w:val="000E2437"/>
    <w:rsid w:val="000F665E"/>
    <w:rsid w:val="001216B6"/>
    <w:rsid w:val="0013397C"/>
    <w:rsid w:val="00143C5F"/>
    <w:rsid w:val="00147D23"/>
    <w:rsid w:val="00150864"/>
    <w:rsid w:val="001645B4"/>
    <w:rsid w:val="0019566A"/>
    <w:rsid w:val="001A2D74"/>
    <w:rsid w:val="001E05F2"/>
    <w:rsid w:val="002409B6"/>
    <w:rsid w:val="002472D2"/>
    <w:rsid w:val="002848E6"/>
    <w:rsid w:val="002938C3"/>
    <w:rsid w:val="002D4DC6"/>
    <w:rsid w:val="002E2259"/>
    <w:rsid w:val="0031725C"/>
    <w:rsid w:val="003B1B3F"/>
    <w:rsid w:val="003B2529"/>
    <w:rsid w:val="003C6504"/>
    <w:rsid w:val="00415640"/>
    <w:rsid w:val="00417ED1"/>
    <w:rsid w:val="00434001"/>
    <w:rsid w:val="004D7647"/>
    <w:rsid w:val="00541C9C"/>
    <w:rsid w:val="00577866"/>
    <w:rsid w:val="005A1847"/>
    <w:rsid w:val="005F47E2"/>
    <w:rsid w:val="00602788"/>
    <w:rsid w:val="00662C99"/>
    <w:rsid w:val="00665BCB"/>
    <w:rsid w:val="0066638C"/>
    <w:rsid w:val="006B5E50"/>
    <w:rsid w:val="006B757A"/>
    <w:rsid w:val="007123BE"/>
    <w:rsid w:val="00720872"/>
    <w:rsid w:val="00737BCB"/>
    <w:rsid w:val="007707B1"/>
    <w:rsid w:val="00781841"/>
    <w:rsid w:val="007D344A"/>
    <w:rsid w:val="008476EA"/>
    <w:rsid w:val="008B4C1A"/>
    <w:rsid w:val="008D3604"/>
    <w:rsid w:val="00962167"/>
    <w:rsid w:val="00963255"/>
    <w:rsid w:val="009B7546"/>
    <w:rsid w:val="00A10F43"/>
    <w:rsid w:val="00A1317C"/>
    <w:rsid w:val="00AA7DC6"/>
    <w:rsid w:val="00AE6755"/>
    <w:rsid w:val="00AE73D3"/>
    <w:rsid w:val="00AF13E0"/>
    <w:rsid w:val="00AF3DF5"/>
    <w:rsid w:val="00B241E4"/>
    <w:rsid w:val="00B36B6C"/>
    <w:rsid w:val="00BA3D8F"/>
    <w:rsid w:val="00BC2C68"/>
    <w:rsid w:val="00BC4970"/>
    <w:rsid w:val="00BF1034"/>
    <w:rsid w:val="00C177A3"/>
    <w:rsid w:val="00C2011E"/>
    <w:rsid w:val="00C255B2"/>
    <w:rsid w:val="00C41D47"/>
    <w:rsid w:val="00C740D3"/>
    <w:rsid w:val="00C80C6C"/>
    <w:rsid w:val="00C84274"/>
    <w:rsid w:val="00C8568E"/>
    <w:rsid w:val="00C976BE"/>
    <w:rsid w:val="00CD5186"/>
    <w:rsid w:val="00D00BEC"/>
    <w:rsid w:val="00D11622"/>
    <w:rsid w:val="00D166BB"/>
    <w:rsid w:val="00D81741"/>
    <w:rsid w:val="00DA30F8"/>
    <w:rsid w:val="00DD7E6E"/>
    <w:rsid w:val="00DF3F07"/>
    <w:rsid w:val="00DF3F54"/>
    <w:rsid w:val="00E0090F"/>
    <w:rsid w:val="00E54486"/>
    <w:rsid w:val="00E575AE"/>
    <w:rsid w:val="00E854EA"/>
    <w:rsid w:val="00EC2696"/>
    <w:rsid w:val="00EC29AE"/>
    <w:rsid w:val="00F05C33"/>
    <w:rsid w:val="00F408F2"/>
    <w:rsid w:val="00FC49A3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2D4C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1713-7EE4-468B-8E00-306E5F0D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N Liulchuk</cp:lastModifiedBy>
  <cp:revision>3</cp:revision>
  <cp:lastPrinted>2021-08-06T08:45:00Z</cp:lastPrinted>
  <dcterms:created xsi:type="dcterms:W3CDTF">2021-08-20T10:41:00Z</dcterms:created>
  <dcterms:modified xsi:type="dcterms:W3CDTF">2021-08-20T11:08:00Z</dcterms:modified>
</cp:coreProperties>
</file>