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1C" w:rsidRDefault="00E7481C" w:rsidP="00AF17C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7481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7481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7481C">
        <w:rPr>
          <w:rFonts w:ascii="Times New Roman" w:hAnsi="Times New Roman" w:cs="Times New Roman"/>
          <w:sz w:val="28"/>
          <w:szCs w:val="28"/>
        </w:rPr>
        <w:t xml:space="preserve"> протокольного рішення </w:t>
      </w:r>
      <w:r>
        <w:rPr>
          <w:rFonts w:ascii="Times New Roman" w:hAnsi="Times New Roman" w:cs="Times New Roman"/>
          <w:sz w:val="28"/>
          <w:szCs w:val="28"/>
        </w:rPr>
        <w:t xml:space="preserve">від 30.09.2021 № 1 </w:t>
      </w:r>
      <w:r w:rsidRPr="00E7481C">
        <w:rPr>
          <w:rFonts w:ascii="Times New Roman" w:hAnsi="Times New Roman" w:cs="Times New Roman"/>
          <w:sz w:val="28"/>
          <w:szCs w:val="28"/>
        </w:rPr>
        <w:t>засідання міжвідомчої робочої групи з питань дерег</w:t>
      </w:r>
      <w:r>
        <w:rPr>
          <w:rFonts w:ascii="Times New Roman" w:hAnsi="Times New Roman" w:cs="Times New Roman"/>
          <w:sz w:val="28"/>
          <w:szCs w:val="28"/>
        </w:rPr>
        <w:t xml:space="preserve">уляції господарської діяльності </w:t>
      </w:r>
      <w:r w:rsidRPr="00E7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Державна служба геології та надр України проводить </w:t>
      </w:r>
      <w:r w:rsidRPr="00F26CF9"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26CF9">
        <w:rPr>
          <w:rFonts w:ascii="Times New Roman" w:hAnsi="Times New Roman" w:cs="Times New Roman"/>
          <w:sz w:val="28"/>
          <w:szCs w:val="28"/>
        </w:rPr>
        <w:t>р пропозицій від бізнес–спільноти та громадськості щодо оновлення  Плану заходів щодо дерегуляції господарської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481C">
        <w:rPr>
          <w:rFonts w:ascii="Times New Roman" w:hAnsi="Times New Roman" w:cs="Times New Roman"/>
          <w:sz w:val="28"/>
          <w:szCs w:val="28"/>
        </w:rPr>
        <w:t>затвердженого розпорядженням К</w:t>
      </w:r>
      <w:r>
        <w:rPr>
          <w:rFonts w:ascii="Times New Roman" w:hAnsi="Times New Roman" w:cs="Times New Roman"/>
          <w:sz w:val="28"/>
          <w:szCs w:val="28"/>
        </w:rPr>
        <w:t xml:space="preserve">абінету </w:t>
      </w:r>
      <w:r w:rsidRPr="00E748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іністрів </w:t>
      </w:r>
      <w:r w:rsidRPr="00E748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країни </w:t>
      </w:r>
      <w:r w:rsidRPr="00E7481C">
        <w:rPr>
          <w:rFonts w:ascii="Times New Roman" w:hAnsi="Times New Roman" w:cs="Times New Roman"/>
          <w:sz w:val="28"/>
          <w:szCs w:val="28"/>
        </w:rPr>
        <w:t xml:space="preserve"> від 04.12.2019 № 1413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CF9">
        <w:rPr>
          <w:rFonts w:ascii="Times New Roman" w:hAnsi="Times New Roman" w:cs="Times New Roman"/>
          <w:sz w:val="28"/>
          <w:szCs w:val="28"/>
        </w:rPr>
        <w:t>за такими критеріями</w:t>
      </w:r>
      <w:r w:rsidR="00AF17C1">
        <w:rPr>
          <w:rFonts w:ascii="Times New Roman" w:hAnsi="Times New Roman" w:cs="Times New Roman"/>
          <w:sz w:val="28"/>
          <w:szCs w:val="28"/>
        </w:rPr>
        <w:t>:</w:t>
      </w:r>
      <w:r w:rsidRPr="00E7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CF9" w:rsidRPr="00F26CF9" w:rsidRDefault="00F26CF9" w:rsidP="00F26C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1998"/>
        <w:gridCol w:w="2183"/>
        <w:gridCol w:w="1171"/>
        <w:gridCol w:w="1262"/>
        <w:gridCol w:w="2403"/>
        <w:gridCol w:w="1615"/>
      </w:tblGrid>
      <w:tr w:rsidR="00F26CF9" w:rsidRPr="00F26CF9" w:rsidTr="00747799">
        <w:tc>
          <w:tcPr>
            <w:tcW w:w="1839" w:type="dxa"/>
            <w:shd w:val="clear" w:color="auto" w:fill="D9D9D9" w:themeFill="background1" w:themeFillShade="D9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Сфера господарської діяльності, яка потребує дерегуляції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проблеми</w:t>
            </w:r>
          </w:p>
        </w:tc>
        <w:tc>
          <w:tcPr>
            <w:tcW w:w="2366" w:type="dxa"/>
            <w:gridSpan w:val="2"/>
            <w:shd w:val="clear" w:color="auto" w:fill="D9D9D9" w:themeFill="background1" w:themeFillShade="D9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Наявність діючого регулювання у цій сфері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Пропозиції до способу дерегуляції господарської діяльності</w:t>
            </w:r>
          </w:p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D9D9D9" w:themeFill="background1" w:themeFillShade="D9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Конкретні пропозиції для реалізації пропозиції</w:t>
            </w:r>
          </w:p>
        </w:tc>
      </w:tr>
      <w:tr w:rsidR="00F26CF9" w:rsidRPr="00F26CF9" w:rsidTr="00747799">
        <w:tc>
          <w:tcPr>
            <w:tcW w:w="1839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6C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(так/ні)</w:t>
            </w:r>
          </w:p>
        </w:tc>
        <w:tc>
          <w:tcPr>
            <w:tcW w:w="1332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6C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Якщо так, то вказати перелік НПА</w:t>
            </w:r>
          </w:p>
        </w:tc>
        <w:tc>
          <w:tcPr>
            <w:tcW w:w="2856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6C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скасувати діюче регулювання</w:t>
            </w:r>
          </w:p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6C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переглянути діюче регулювання</w:t>
            </w:r>
          </w:p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6C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ефективно врегулювати (якщо діюче регулювання відсутнє)</w:t>
            </w:r>
          </w:p>
        </w:tc>
        <w:tc>
          <w:tcPr>
            <w:tcW w:w="1669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F9" w:rsidRPr="00F26CF9" w:rsidTr="00747799">
        <w:tc>
          <w:tcPr>
            <w:tcW w:w="1839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32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56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</w:tcPr>
          <w:p w:rsidR="00F26CF9" w:rsidRPr="00F26CF9" w:rsidRDefault="00F26CF9" w:rsidP="00F26CF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7C1" w:rsidRDefault="00AF17C1" w:rsidP="00AF17C1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E7481C" w:rsidRDefault="00E7481C" w:rsidP="00AF17C1">
      <w:pPr>
        <w:ind w:left="-567" w:righ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Пропозиції приймаються </w:t>
      </w:r>
      <w:r w:rsidRPr="00E7481C">
        <w:rPr>
          <w:rFonts w:ascii="Times New Roman" w:hAnsi="Times New Roman" w:cs="Times New Roman"/>
          <w:b/>
          <w:sz w:val="28"/>
          <w:szCs w:val="28"/>
        </w:rPr>
        <w:t>до 22.10.2021</w:t>
      </w:r>
      <w:r>
        <w:rPr>
          <w:rFonts w:ascii="Times New Roman" w:hAnsi="Times New Roman" w:cs="Times New Roman"/>
          <w:sz w:val="28"/>
          <w:szCs w:val="28"/>
        </w:rPr>
        <w:t xml:space="preserve"> на електронну адресу: </w:t>
      </w:r>
      <w:hyperlink r:id="rId5" w:history="1">
        <w:r w:rsidRPr="00012258">
          <w:rPr>
            <w:rStyle w:val="a3"/>
            <w:rFonts w:ascii="Times New Roman" w:hAnsi="Times New Roman" w:cs="Times New Roman"/>
            <w:sz w:val="28"/>
            <w:szCs w:val="28"/>
          </w:rPr>
          <w:t>geonadra@geomail.kiev.ua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48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4068"/>
    <w:multiLevelType w:val="hybridMultilevel"/>
    <w:tmpl w:val="F626D578"/>
    <w:lvl w:ilvl="0" w:tplc="4B78A15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07"/>
    <w:rsid w:val="00387EA7"/>
    <w:rsid w:val="007424BB"/>
    <w:rsid w:val="007D3707"/>
    <w:rsid w:val="00AF17C1"/>
    <w:rsid w:val="00B370EB"/>
    <w:rsid w:val="00BB5FEF"/>
    <w:rsid w:val="00D42C38"/>
    <w:rsid w:val="00D95C7D"/>
    <w:rsid w:val="00DF47AD"/>
    <w:rsid w:val="00E7481C"/>
    <w:rsid w:val="00F26CF9"/>
    <w:rsid w:val="00F8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41F2"/>
  <w15:chartTrackingRefBased/>
  <w15:docId w15:val="{3567F7A6-BAB1-40DF-9048-CEBD4B36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7A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2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nadra@geomail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Kozyr</dc:creator>
  <cp:keywords/>
  <dc:description/>
  <cp:lastModifiedBy>I Kotsiuruba</cp:lastModifiedBy>
  <cp:revision>2</cp:revision>
  <dcterms:created xsi:type="dcterms:W3CDTF">2021-10-06T13:39:00Z</dcterms:created>
  <dcterms:modified xsi:type="dcterms:W3CDTF">2021-10-06T13:39:00Z</dcterms:modified>
</cp:coreProperties>
</file>