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52532B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«23</w:t>
      </w:r>
      <w:r w:rsidR="00713AC9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грудня</w:t>
      </w:r>
      <w:r w:rsidR="00713AC9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997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D6798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94456D" w:rsidRDefault="0094456D" w:rsidP="00713AC9">
      <w:pPr>
        <w:ind w:right="-185"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пункту 24 Порядку надання спеціальних дозволів на користування надрами, затвердженого постановою Кабінету Міністрів України </w:t>
      </w:r>
      <w:r w:rsidR="005730AD">
        <w:rPr>
          <w:b w:val="0"/>
          <w:bCs w:val="0"/>
          <w:color w:val="000000"/>
          <w:sz w:val="28"/>
          <w:szCs w:val="28"/>
          <w:lang w:val="uk-UA"/>
        </w:rPr>
        <w:br/>
      </w:r>
      <w:r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постанови Кабінету Міністрів України</w:t>
      </w:r>
      <w:r w:rsidR="005730A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730AD">
        <w:rPr>
          <w:b w:val="0"/>
          <w:bCs w:val="0"/>
          <w:color w:val="000000"/>
          <w:sz w:val="28"/>
          <w:szCs w:val="28"/>
          <w:lang w:val="uk-UA"/>
        </w:rPr>
        <w:br/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від 19.02.2020 № 124) (далі – Порядок), у зв’язку з </w:t>
      </w:r>
      <w:r w:rsidR="002B3456">
        <w:rPr>
          <w:b w:val="0"/>
          <w:bCs w:val="0"/>
          <w:color w:val="000000"/>
          <w:sz w:val="28"/>
          <w:szCs w:val="28"/>
          <w:lang w:val="uk-UA"/>
        </w:rPr>
        <w:t>надходженням листа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13AC9" w:rsidRPr="00713AC9">
        <w:rPr>
          <w:b w:val="0"/>
          <w:bCs w:val="0"/>
          <w:color w:val="000000"/>
          <w:sz w:val="28"/>
          <w:szCs w:val="28"/>
          <w:lang w:val="uk-UA"/>
        </w:rPr>
        <w:t>Товариства з обмеженою відповідальністю «</w:t>
      </w:r>
      <w:proofErr w:type="spellStart"/>
      <w:r w:rsidR="00713AC9" w:rsidRPr="00713AC9">
        <w:rPr>
          <w:b w:val="0"/>
          <w:bCs w:val="0"/>
          <w:color w:val="000000"/>
          <w:sz w:val="28"/>
          <w:szCs w:val="28"/>
          <w:lang w:val="uk-UA"/>
        </w:rPr>
        <w:t>Техіновація</w:t>
      </w:r>
      <w:proofErr w:type="spellEnd"/>
      <w:r w:rsidR="00713AC9" w:rsidRPr="00713AC9">
        <w:rPr>
          <w:b w:val="0"/>
          <w:bCs w:val="0"/>
          <w:color w:val="000000"/>
          <w:sz w:val="28"/>
          <w:szCs w:val="28"/>
          <w:lang w:val="uk-UA"/>
        </w:rPr>
        <w:t>»</w:t>
      </w:r>
      <w:r w:rsidR="00C61B6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13AC9">
        <w:rPr>
          <w:b w:val="0"/>
          <w:bCs w:val="0"/>
          <w:color w:val="000000"/>
          <w:sz w:val="28"/>
          <w:szCs w:val="28"/>
          <w:lang w:val="uk-UA"/>
        </w:rPr>
        <w:t xml:space="preserve">від 08.12.2021 № 103-21 </w:t>
      </w:r>
      <w:r w:rsidR="00C61B6F">
        <w:rPr>
          <w:b w:val="0"/>
          <w:bCs w:val="0"/>
          <w:color w:val="000000"/>
          <w:sz w:val="28"/>
          <w:szCs w:val="28"/>
          <w:lang w:val="uk-UA"/>
        </w:rPr>
        <w:t>стосовно</w:t>
      </w:r>
      <w:r w:rsidR="00713AC9">
        <w:rPr>
          <w:b w:val="0"/>
          <w:bCs w:val="0"/>
          <w:color w:val="000000"/>
          <w:sz w:val="28"/>
          <w:szCs w:val="28"/>
          <w:lang w:val="uk-UA"/>
        </w:rPr>
        <w:t xml:space="preserve"> залишення заяви </w:t>
      </w:r>
      <w:r w:rsidR="00C61B6F">
        <w:rPr>
          <w:b w:val="0"/>
          <w:bCs w:val="0"/>
          <w:color w:val="000000"/>
          <w:sz w:val="28"/>
          <w:szCs w:val="28"/>
          <w:lang w:val="uk-UA"/>
        </w:rPr>
        <w:t xml:space="preserve">від </w:t>
      </w:r>
      <w:r w:rsidR="00B14BC5">
        <w:rPr>
          <w:b w:val="0"/>
          <w:bCs w:val="0"/>
          <w:color w:val="000000"/>
          <w:sz w:val="28"/>
          <w:szCs w:val="28"/>
          <w:lang w:val="uk-UA"/>
        </w:rPr>
        <w:t>24.03.2021 № 340</w:t>
      </w:r>
      <w:r w:rsidR="00D6798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61B6F">
        <w:rPr>
          <w:b w:val="0"/>
          <w:bCs w:val="0"/>
          <w:color w:val="000000"/>
          <w:sz w:val="28"/>
          <w:szCs w:val="28"/>
          <w:lang w:val="uk-UA"/>
        </w:rPr>
        <w:t>щодо</w:t>
      </w:r>
      <w:r w:rsidR="00713AC9">
        <w:rPr>
          <w:b w:val="0"/>
          <w:bCs w:val="0"/>
          <w:color w:val="000000"/>
          <w:sz w:val="28"/>
          <w:szCs w:val="28"/>
          <w:lang w:val="uk-UA"/>
        </w:rPr>
        <w:t xml:space="preserve"> внесення </w:t>
      </w:r>
      <w:r w:rsidR="00D67987">
        <w:rPr>
          <w:b w:val="0"/>
          <w:bCs w:val="0"/>
          <w:color w:val="000000"/>
          <w:sz w:val="28"/>
          <w:szCs w:val="28"/>
          <w:lang w:val="uk-UA"/>
        </w:rPr>
        <w:t xml:space="preserve">змін 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>до спеціального дозволу на користування надрами від 30.12.2009 № 5098 з метою в</w:t>
      </w:r>
      <w:r w:rsidR="00534C14">
        <w:rPr>
          <w:b w:val="0"/>
          <w:bCs w:val="0"/>
          <w:color w:val="000000"/>
          <w:sz w:val="28"/>
          <w:szCs w:val="28"/>
          <w:lang w:val="uk-UA"/>
        </w:rPr>
        <w:t>идобування корисних копалин кам’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яного вугілля, </w:t>
      </w:r>
      <w:r w:rsidR="000E4720" w:rsidRPr="000E4720">
        <w:rPr>
          <w:b w:val="0"/>
          <w:bCs w:val="0"/>
          <w:color w:val="000000"/>
          <w:sz w:val="28"/>
          <w:szCs w:val="28"/>
          <w:lang w:val="uk-UA"/>
        </w:rPr>
        <w:t>супутньої корисної копалини:</w:t>
      </w:r>
      <w:r w:rsidR="000E472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газу (метану) вугільних родовищ, супутнього корисного компоненту: германію Поля шахти «Свято-Покровська», пласти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m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6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2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m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5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en-US"/>
        </w:rPr>
        <w:t>l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m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4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2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m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4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0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m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1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1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l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8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l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8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в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67987" w:rsidRPr="00D67987">
        <w:rPr>
          <w:b w:val="0"/>
          <w:bCs w:val="0"/>
          <w:color w:val="000000"/>
          <w:sz w:val="28"/>
          <w:szCs w:val="28"/>
          <w:lang w:val="en-US"/>
        </w:rPr>
        <w:t>l</w:t>
      </w:r>
      <w:r w:rsidR="00D67987" w:rsidRPr="00D67987">
        <w:rPr>
          <w:b w:val="0"/>
          <w:bCs w:val="0"/>
          <w:color w:val="000000"/>
          <w:sz w:val="28"/>
          <w:szCs w:val="28"/>
          <w:vertAlign w:val="subscript"/>
          <w:lang w:val="uk-UA"/>
        </w:rPr>
        <w:t>8</w:t>
      </w:r>
      <w:r w:rsidR="00D67987" w:rsidRPr="00D67987">
        <w:rPr>
          <w:b w:val="0"/>
          <w:bCs w:val="0"/>
          <w:color w:val="000000"/>
          <w:sz w:val="28"/>
          <w:szCs w:val="28"/>
          <w:vertAlign w:val="superscript"/>
          <w:lang w:val="uk-UA"/>
        </w:rPr>
        <w:t>н</w:t>
      </w:r>
      <w:r w:rsidR="00D67987" w:rsidRPr="00D67987">
        <w:rPr>
          <w:b w:val="0"/>
          <w:bCs w:val="0"/>
          <w:color w:val="000000"/>
          <w:sz w:val="28"/>
          <w:szCs w:val="28"/>
          <w:lang w:val="uk-UA"/>
        </w:rPr>
        <w:t>, що знаходиться в Донецькій області</w:t>
      </w:r>
      <w:r w:rsidR="00D6798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13AC9">
        <w:rPr>
          <w:b w:val="0"/>
          <w:bCs w:val="0"/>
          <w:color w:val="000000"/>
          <w:sz w:val="28"/>
          <w:szCs w:val="28"/>
          <w:lang w:val="uk-UA"/>
        </w:rPr>
        <w:t>без розгляду</w:t>
      </w:r>
      <w:r w:rsidR="00B14BC5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>
        <w:rPr>
          <w:b w:val="0"/>
          <w:color w:val="000000"/>
          <w:sz w:val="28"/>
          <w:szCs w:val="28"/>
          <w:lang w:val="uk-UA"/>
        </w:rPr>
        <w:t xml:space="preserve">ування (протокол </w:t>
      </w:r>
      <w:r w:rsidRPr="0094456D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B14BC5">
        <w:rPr>
          <w:b w:val="0"/>
          <w:color w:val="000000"/>
          <w:sz w:val="28"/>
          <w:szCs w:val="28"/>
          <w:lang w:val="uk-UA"/>
        </w:rPr>
        <w:t>від 21</w:t>
      </w:r>
      <w:r w:rsidR="00F753E0">
        <w:rPr>
          <w:b w:val="0"/>
          <w:color w:val="000000"/>
          <w:sz w:val="28"/>
          <w:szCs w:val="28"/>
          <w:lang w:val="uk-UA"/>
        </w:rPr>
        <w:t xml:space="preserve">.12.2020 </w:t>
      </w:r>
      <w:r w:rsidR="00B14BC5">
        <w:rPr>
          <w:b w:val="0"/>
          <w:color w:val="000000"/>
          <w:sz w:val="28"/>
          <w:szCs w:val="28"/>
          <w:lang w:val="uk-UA"/>
        </w:rPr>
        <w:t>№ 30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253D3B" w:rsidRPr="00253D3B">
        <w:rPr>
          <w:b w:val="0"/>
          <w:color w:val="000000"/>
          <w:sz w:val="28"/>
          <w:szCs w:val="28"/>
          <w:lang w:val="uk-UA"/>
        </w:rPr>
        <w:t>-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B14BC5">
        <w:rPr>
          <w:b w:val="0"/>
          <w:color w:val="000000"/>
          <w:sz w:val="28"/>
          <w:szCs w:val="28"/>
          <w:lang w:val="uk-UA"/>
        </w:rPr>
        <w:t>РГ/2021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пункт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12 Додатку до наказу Держгеонадр від 15.06.2021 № 452 </w:t>
      </w:r>
      <w:r w:rsidR="00C5393D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 внесення змін Товариству з обмеженою відповідальністю «</w:t>
      </w:r>
      <w:proofErr w:type="spellStart"/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Техіновація</w:t>
      </w:r>
      <w:proofErr w:type="spellEnd"/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»</w:t>
      </w:r>
      <w:r w:rsid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(код ЄДРПОУ </w:t>
      </w:r>
      <w:r w:rsidR="002C0EA0">
        <w:rPr>
          <w:b w:val="0"/>
          <w:bCs w:val="0"/>
          <w:color w:val="000000"/>
          <w:spacing w:val="-7"/>
          <w:sz w:val="28"/>
          <w:szCs w:val="28"/>
          <w:lang w:val="uk-UA"/>
        </w:rPr>
        <w:t>35293307)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 спеціального дозволу на користування надрами </w:t>
      </w:r>
      <w:r w:rsidR="002C0EA0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від 30.12.2009 № 5098 з метою в</w:t>
      </w:r>
      <w:r w:rsidR="00534C14">
        <w:rPr>
          <w:b w:val="0"/>
          <w:bCs w:val="0"/>
          <w:color w:val="000000"/>
          <w:spacing w:val="-7"/>
          <w:sz w:val="28"/>
          <w:szCs w:val="28"/>
          <w:lang w:val="uk-UA"/>
        </w:rPr>
        <w:t>идобування корисних копалин кам’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яного вугілля, </w:t>
      </w:r>
      <w:r w:rsidR="00EC538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супутньої корисної копалини: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газу (метану) вугільних родовищ, супутнього корисного компоненту: германію Поля шахти «Свято-Покровська»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пласти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m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6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2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m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5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  <w:lang w:val="en-US"/>
        </w:rPr>
        <w:t>l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m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4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2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m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4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0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>,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m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1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1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>,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l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8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l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8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в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</w:rPr>
        <w:t xml:space="preserve">, 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en-US"/>
        </w:rPr>
        <w:t>l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bscript"/>
        </w:rPr>
        <w:t>8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vertAlign w:val="superscript"/>
        </w:rPr>
        <w:t>н</w:t>
      </w:r>
      <w:r w:rsidR="00C5393D" w:rsidRPr="00C5393D">
        <w:rPr>
          <w:b w:val="0"/>
          <w:bCs w:val="0"/>
          <w:color w:val="000000"/>
          <w:spacing w:val="-7"/>
          <w:sz w:val="28"/>
          <w:szCs w:val="28"/>
          <w:lang w:val="uk-UA"/>
        </w:rPr>
        <w:t>, що знаходиться в Донецькій області</w:t>
      </w:r>
      <w:r w:rsidR="000B38B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F753E0" w:rsidRDefault="00F753E0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F75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E4720"/>
    <w:rsid w:val="000F0333"/>
    <w:rsid w:val="00183728"/>
    <w:rsid w:val="001D0778"/>
    <w:rsid w:val="001E4D94"/>
    <w:rsid w:val="00214D07"/>
    <w:rsid w:val="00253D3B"/>
    <w:rsid w:val="00287E7A"/>
    <w:rsid w:val="002A133E"/>
    <w:rsid w:val="002B3456"/>
    <w:rsid w:val="002B3766"/>
    <w:rsid w:val="002C0EA0"/>
    <w:rsid w:val="00380AE8"/>
    <w:rsid w:val="00384652"/>
    <w:rsid w:val="003B1A0C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2532B"/>
    <w:rsid w:val="00534C14"/>
    <w:rsid w:val="0055013F"/>
    <w:rsid w:val="005730AD"/>
    <w:rsid w:val="005E77F1"/>
    <w:rsid w:val="005F761C"/>
    <w:rsid w:val="00675C63"/>
    <w:rsid w:val="00684D95"/>
    <w:rsid w:val="006957F9"/>
    <w:rsid w:val="006A5118"/>
    <w:rsid w:val="006A75A7"/>
    <w:rsid w:val="006A782C"/>
    <w:rsid w:val="00713AC9"/>
    <w:rsid w:val="00736544"/>
    <w:rsid w:val="00751D45"/>
    <w:rsid w:val="00777BF5"/>
    <w:rsid w:val="007A103E"/>
    <w:rsid w:val="007D2B20"/>
    <w:rsid w:val="00804560"/>
    <w:rsid w:val="00810449"/>
    <w:rsid w:val="00821856"/>
    <w:rsid w:val="00837771"/>
    <w:rsid w:val="00876C10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82F21"/>
    <w:rsid w:val="00AA47C5"/>
    <w:rsid w:val="00AB0BCA"/>
    <w:rsid w:val="00B14BC5"/>
    <w:rsid w:val="00B45587"/>
    <w:rsid w:val="00B57CDE"/>
    <w:rsid w:val="00BD12A1"/>
    <w:rsid w:val="00C03E42"/>
    <w:rsid w:val="00C5393D"/>
    <w:rsid w:val="00C61B6F"/>
    <w:rsid w:val="00CB35A9"/>
    <w:rsid w:val="00CE0DAE"/>
    <w:rsid w:val="00D143CF"/>
    <w:rsid w:val="00D37714"/>
    <w:rsid w:val="00D5452C"/>
    <w:rsid w:val="00D601AF"/>
    <w:rsid w:val="00D67987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B775B"/>
    <w:rsid w:val="00EC5382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958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5</cp:revision>
  <cp:lastPrinted>2020-12-23T15:43:00Z</cp:lastPrinted>
  <dcterms:created xsi:type="dcterms:W3CDTF">2021-12-22T17:33:00Z</dcterms:created>
  <dcterms:modified xsi:type="dcterms:W3CDTF">2021-12-30T05:34:00Z</dcterms:modified>
</cp:coreProperties>
</file>