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C" w:rsidRPr="00C96347" w:rsidRDefault="008A709C" w:rsidP="00AF72F9">
      <w:pPr>
        <w:widowControl w:val="0"/>
        <w:tabs>
          <w:tab w:val="left" w:pos="990"/>
        </w:tabs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2D7921" w:rsidRPr="00C96347" w:rsidRDefault="006A3C2B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A3C2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 </w:t>
      </w:r>
      <w:proofErr w:type="spellStart"/>
      <w:r w:rsidR="00B460DA" w:rsidRPr="00B460DA">
        <w:rPr>
          <w:rFonts w:ascii="Times New Roman" w:eastAsia="Times New Roman" w:hAnsi="Times New Roman"/>
          <w:sz w:val="26"/>
          <w:szCs w:val="26"/>
          <w:lang w:val="uk-UA" w:eastAsia="ru-RU"/>
        </w:rPr>
        <w:t>проєкту</w:t>
      </w:r>
      <w:proofErr w:type="spellEnd"/>
      <w:r w:rsidR="00B460DA" w:rsidRPr="00B460D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Закону України «Про внесення змін до деяких законодавчих актів щодо діяльності з буріння та використання свердловин для добування підземних вод»</w:t>
      </w:r>
    </w:p>
    <w:p w:rsidR="00A0269A" w:rsidRPr="00C9634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1422" w:rsidRPr="00C96347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C96347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B460DA" w:rsidRDefault="00B460DA" w:rsidP="006A3C2B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Проєкт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Закону України «Про внесення змін до деяких законодавчих актів щодо діяльності з буріння та використання свердловин для добування підземних вод» розроблено на виконання абзацу шостого підпункту «а» підпункту 2 пункту 1 рішення Ради національної безпеки і оборони України від 23 березня 2021 р.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р. № 111, абзацу п'ятого підпункту 3 пункту 1 рішення Ради національної безпеки і оборони України від 30 липня 2021 р. «Про стан водних ресурсів України», введеного в дію Указом Президента України від 13 серпня 2021 р. № 357, з метою встановлення адміністративної відповідальності за буріння суб’єктами господарювання свердловин для добування підземних вод без ліцензії на провадження відповідного виду господарської діяльності або у період зупинення дії такої ліцензії повністю або частково, а також за незабезпечення ліквідаційного санітарно-технічного тампонажу таких свердловин після припинення їх експлуатації.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Сьогодні загострились проблеми, пов’язані зі станом оточуючого середовища. Погіршення якості і вичерпання ресурсів, особливо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життєзабезпечуючих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>, таких як вода, не лише негативно впливають на стан здоров’я людей, а й є причиною загострення регіональних проблем та міждержавних відносин.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Серед головних проблем держави, пов’язаних з водними ресурсами, які у свою чергу обумовлені особливостями формування водних ресурсів регіонів України, є незбалансованість схеми розміщення найбільш водоємних підприємств та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успадкованість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недосконалої водної політики. Серед фізико-географічних чинників ускладнення водно-екологічних умов України можна відмітити: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- переважання маловодних степової та лісостепової зон;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- обмеженість водних ресурсів власного формування (50 млрд м3/рік), в тому числі 21 млрд м3/рік підземних вод питної якості, які за виключенням ґрунтових, є захищеними від прямого техногенного забруднення і формують стратегічну базу питного водопостачання населення України, що визначається особливостями наших природних умов річкових басейнів та басейнів підземних вод.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Згідно з міжнародними стандартами Україна належить до маловодних країн (менше 1,1 тис. м3/рік людина) та з нерівномірним територіальним розподілом водних ресурсів.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Історично система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питно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-господарського водопостачання, яка формувалась ще за часів колишнього СРСР ґрунтується на переважному використанні незахищених від техногенного забруднення поверхневих вод. Доступність поверхневих вод, менша собівартість відбору 1 м3 води, можливість створення великих водозаборів тощо стали основними аргументами радянської системи господарювання без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врахувань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зростаючого забруднення та вразливості цих джерел при надзвичайних ситуаціях. Перевагу поверхневим водам віддавали навіть там, де для їх використання необхідно було будувати водоводи з досить значною відстанню, коли в той же час поряд існували родовища підземних вод з достатніми запасами (Київ, Харків, Чернівці, Донбас). Як результат питне водопостачання в Україні на 80% забезпечується з поверхневих </w:t>
      </w:r>
      <w:r w:rsidRPr="00B460DA">
        <w:rPr>
          <w:rFonts w:eastAsia="Times New Roman"/>
          <w:bCs/>
          <w:sz w:val="26"/>
          <w:szCs w:val="26"/>
          <w:lang w:val="uk-UA" w:eastAsia="ru-RU"/>
        </w:rPr>
        <w:lastRenderedPageBreak/>
        <w:t>джерел, а в окремих регіонах майже на 100%.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Крім того, велика кількість гідротехнічних споруд уповільнила поверхневий стік і зумовила довгострокове підвищення рівня ґрунтових вод на значних територіях, що активізувало розвиток регіонального підтоплення земель (стабільний прояв на 2-3 млн га) з одночасним розвитком ділянок забруднення ґрунтових і поверхневих вод.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Забезпечення водою населення України в повному обсязі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ускладнюється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через незадовільну якість води водних об’єктів. Практично всі поверхневі джерела водопостачання України останні 10 років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інтенсивно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забруднювалися. Через низьку якість очищення стічних вод (подекуди очисні споруди зовсім не працюють) надходження забруднених стоків у поверхневі водойми не зменшується, хоч використання води у порівнянні з початком 90-их років зменшилося більш ніж у два рази.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Кризовий стан водокористування, катастрофічний екологічний стан водних ресурсів посилюється наявністю в Україні надзвичайно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висоководоємних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виробництв, а також водоємних технологій, які потребують води у 2 – 6 разів більше, ніж технології розвинених країн Європи і Америки. Питоме централізоване водопостачання для населення України теж перевищує показники розвинутих країн.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Зважаючи на стан поверхневих джерел водопостачання в Україні актуальною є проблема еколого-ресурсної оптимізації системи </w:t>
      </w: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питно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господарського водопостачання. Хоч ресурси підземних вод в державі теж обмежені й нерівномірно розповсюджені, проте у більшості регіонів є доцільним розвиток підземного питного водопостачання (наприклад, Київ, Львів та інші міста).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На жаль, є ознаки локального забруднення перших напірних і глибших горизонтів зони активного водообміну внаслідок прискореної міграції забруднень під впливом експлуатації водозаборів і шахт тощо. Цьому також сприяє значною мірою відсутність державного контролю за видобутком питних підземних вод для власних господарсько-побутових потреб (до 300 м3/добу).</w:t>
      </w:r>
    </w:p>
    <w:p w:rsidR="00B460DA" w:rsidRPr="00B460DA" w:rsidRDefault="00B460DA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B460DA">
        <w:rPr>
          <w:rFonts w:eastAsia="Times New Roman"/>
          <w:bCs/>
          <w:sz w:val="26"/>
          <w:szCs w:val="26"/>
          <w:lang w:val="uk-UA" w:eastAsia="ru-RU"/>
        </w:rPr>
        <w:t>З огляду на зазначене, відсутність ліцензування такого виду господарської діяльності як буріння свердловин для добування підземних вод та їх ліквідація та/або тампонування, а також адміністративної відповідальності за незаконну діяльність з буріння артезіанських свердловин та їх ліквідацію та/або тампонування та незабезпечення ліквідаційного санітарно-технічного тампонажу свердловин для добування підземних вод після припинення їх експлуатації унеможливлює забезпечення превентивного ефекту за такі діяння та позбавляє контролю за їх раціональним використанням надр.</w:t>
      </w:r>
    </w:p>
    <w:p w:rsidR="00ED3688" w:rsidRPr="00C96347" w:rsidRDefault="00E26733" w:rsidP="00B460D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З метою забезпечення належного виконання </w:t>
      </w:r>
      <w:r w:rsidR="00AA59F0">
        <w:rPr>
          <w:rFonts w:eastAsia="Times New Roman"/>
          <w:bCs/>
          <w:sz w:val="26"/>
          <w:szCs w:val="26"/>
          <w:lang w:val="uk-UA" w:eastAsia="ru-RU"/>
        </w:rPr>
        <w:t xml:space="preserve">вищезазначених 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>рішен</w:t>
      </w:r>
      <w:r w:rsidR="00AA59F0">
        <w:rPr>
          <w:rFonts w:eastAsia="Times New Roman"/>
          <w:bCs/>
          <w:sz w:val="26"/>
          <w:szCs w:val="26"/>
          <w:lang w:val="uk-UA" w:eastAsia="ru-RU"/>
        </w:rPr>
        <w:t>ь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 РНБО</w:t>
      </w:r>
      <w:r w:rsidR="00DF16F3">
        <w:rPr>
          <w:rFonts w:eastAsia="Times New Roman"/>
          <w:bCs/>
          <w:sz w:val="26"/>
          <w:szCs w:val="26"/>
          <w:lang w:val="uk-UA" w:eastAsia="ru-RU"/>
        </w:rPr>
        <w:t>,</w:t>
      </w:r>
      <w:r w:rsidR="00BE1538" w:rsidRPr="00C9634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402C9E" w:rsidRPr="00402C9E">
        <w:rPr>
          <w:rFonts w:eastAsia="Times New Roman"/>
          <w:bCs/>
          <w:sz w:val="26"/>
          <w:szCs w:val="26"/>
          <w:lang w:val="uk-UA" w:eastAsia="ru-RU"/>
        </w:rPr>
        <w:t>ресурсозбереження, забезпечення збалансованого водокористування, забезпечення водної безпеки держави</w:t>
      </w:r>
      <w:r w:rsidR="00B460DA">
        <w:rPr>
          <w:rFonts w:eastAsia="Times New Roman"/>
          <w:bCs/>
          <w:sz w:val="26"/>
          <w:szCs w:val="26"/>
          <w:lang w:val="uk-UA" w:eastAsia="ru-RU"/>
        </w:rPr>
        <w:t>,</w:t>
      </w:r>
      <w:r w:rsidR="00402C9E" w:rsidRPr="00402C9E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B460DA" w:rsidRPr="00B460DA">
        <w:rPr>
          <w:rFonts w:eastAsia="Times New Roman"/>
          <w:bCs/>
          <w:sz w:val="26"/>
          <w:szCs w:val="26"/>
          <w:lang w:val="uk-UA" w:eastAsia="ru-RU"/>
        </w:rPr>
        <w:t>раціонального використання надр та забезпечення превентивного впливу на суб’єктів господарювання під час діяльності з буріння свердловин для добування підземних вод та їх</w:t>
      </w:r>
      <w:r w:rsidR="00B460DA">
        <w:rPr>
          <w:rFonts w:eastAsia="Times New Roman"/>
          <w:bCs/>
          <w:sz w:val="26"/>
          <w:szCs w:val="26"/>
          <w:lang w:val="uk-UA" w:eastAsia="ru-RU"/>
        </w:rPr>
        <w:t xml:space="preserve"> ліквідації та/або тампонування </w:t>
      </w:r>
      <w:proofErr w:type="spellStart"/>
      <w:r w:rsidR="009474D8" w:rsidRPr="00C96347">
        <w:rPr>
          <w:rFonts w:eastAsia="Times New Roman"/>
          <w:bCs/>
          <w:sz w:val="26"/>
          <w:szCs w:val="26"/>
          <w:lang w:val="uk-UA" w:eastAsia="ru-RU"/>
        </w:rPr>
        <w:t>Міндовкіллям</w:t>
      </w:r>
      <w:proofErr w:type="spellEnd"/>
      <w:r w:rsidR="009474D8" w:rsidRPr="00C96347">
        <w:rPr>
          <w:rFonts w:eastAsia="Times New Roman"/>
          <w:bCs/>
          <w:sz w:val="26"/>
          <w:szCs w:val="26"/>
          <w:lang w:val="uk-UA" w:eastAsia="ru-RU"/>
        </w:rPr>
        <w:t xml:space="preserve"> разом з </w:t>
      </w:r>
      <w:proofErr w:type="spellStart"/>
      <w:r w:rsidR="009474D8" w:rsidRPr="00C96347">
        <w:rPr>
          <w:rFonts w:eastAsia="Times New Roman"/>
          <w:bCs/>
          <w:sz w:val="26"/>
          <w:szCs w:val="26"/>
          <w:lang w:val="uk-UA" w:eastAsia="ru-RU"/>
        </w:rPr>
        <w:t>Держгеонадрами</w:t>
      </w:r>
      <w:proofErr w:type="spellEnd"/>
      <w:r w:rsidR="009474D8" w:rsidRPr="00C96347">
        <w:rPr>
          <w:rFonts w:eastAsia="Times New Roman"/>
          <w:bCs/>
          <w:sz w:val="26"/>
          <w:szCs w:val="26"/>
          <w:lang w:val="uk-UA" w:eastAsia="ru-RU"/>
        </w:rPr>
        <w:t xml:space="preserve"> розроблено </w:t>
      </w:r>
      <w:proofErr w:type="spellStart"/>
      <w:r w:rsidR="00E50B15">
        <w:rPr>
          <w:rFonts w:eastAsia="Times New Roman"/>
          <w:bCs/>
          <w:sz w:val="26"/>
          <w:szCs w:val="26"/>
          <w:lang w:val="uk-UA" w:eastAsia="ru-RU"/>
        </w:rPr>
        <w:t>проєкт</w:t>
      </w:r>
      <w:proofErr w:type="spellEnd"/>
      <w:r w:rsidR="00E50B15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402C9E" w:rsidRPr="00402C9E">
        <w:rPr>
          <w:rFonts w:eastAsia="Times New Roman"/>
          <w:bCs/>
          <w:sz w:val="26"/>
          <w:szCs w:val="26"/>
          <w:lang w:val="uk-UA" w:eastAsia="ru-RU"/>
        </w:rPr>
        <w:t xml:space="preserve">Закону України </w:t>
      </w:r>
      <w:r w:rsidR="00B460DA" w:rsidRPr="00B460DA">
        <w:rPr>
          <w:rFonts w:eastAsia="Times New Roman"/>
          <w:bCs/>
          <w:sz w:val="26"/>
          <w:szCs w:val="26"/>
          <w:lang w:val="uk-UA" w:eastAsia="ru-RU"/>
        </w:rPr>
        <w:t>«Про внесення змін до деяких законодавчих актів щодо діяльності з буріння та використання свердловин для добування підземних вод»</w:t>
      </w:r>
      <w:r w:rsidR="009474D8" w:rsidRPr="00C96347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484930" w:rsidRDefault="00B460DA" w:rsidP="00402C9E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proofErr w:type="spellStart"/>
      <w:r w:rsidRPr="00B460DA">
        <w:rPr>
          <w:rFonts w:eastAsia="Times New Roman"/>
          <w:bCs/>
          <w:sz w:val="26"/>
          <w:szCs w:val="26"/>
          <w:lang w:val="uk-UA" w:eastAsia="ru-RU"/>
        </w:rPr>
        <w:t>Проєктом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uk-UA" w:eastAsia="ru-RU"/>
        </w:rPr>
        <w:t>акта</w:t>
      </w:r>
      <w:proofErr w:type="spellEnd"/>
      <w:r w:rsidRPr="00B460DA">
        <w:rPr>
          <w:rFonts w:eastAsia="Times New Roman"/>
          <w:bCs/>
          <w:sz w:val="26"/>
          <w:szCs w:val="26"/>
          <w:lang w:val="uk-UA" w:eastAsia="ru-RU"/>
        </w:rPr>
        <w:t xml:space="preserve"> пропонується внесення змін до Закону України «Про ліцензування видів господарської діяльності» з метою запровадження нового виду ліцензійної діяльності з буріння свердловин для добування підземних вод та їх ліквідація та/або тампонування та Водного кодексу України з метою визначення відповідного органу ліцензування.</w:t>
      </w:r>
    </w:p>
    <w:p w:rsidR="00402C9E" w:rsidRPr="00C96347" w:rsidRDefault="00402C9E" w:rsidP="00402C9E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</w:p>
    <w:p w:rsidR="00DF2724" w:rsidRPr="00C96347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</w:t>
      </w:r>
      <w:r w:rsidR="00E57D5B" w:rsidRPr="00C96347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C96347">
        <w:rPr>
          <w:spacing w:val="2"/>
          <w:sz w:val="26"/>
          <w:szCs w:val="26"/>
          <w:lang w:val="uk-UA"/>
        </w:rPr>
        <w:t xml:space="preserve"> групи</w:t>
      </w:r>
      <w:r w:rsidR="00496253" w:rsidRPr="00C96347">
        <w:rPr>
          <w:spacing w:val="2"/>
          <w:sz w:val="26"/>
          <w:szCs w:val="26"/>
          <w:lang w:val="uk-UA"/>
        </w:rPr>
        <w:t>,</w:t>
      </w:r>
      <w:r w:rsidR="00E57D5B" w:rsidRPr="00C96347">
        <w:rPr>
          <w:spacing w:val="2"/>
          <w:sz w:val="26"/>
          <w:szCs w:val="26"/>
          <w:lang w:val="uk-UA"/>
        </w:rPr>
        <w:t xml:space="preserve"> на які проблема справляє вплив</w:t>
      </w:r>
      <w:r w:rsidR="00DF2724" w:rsidRPr="00C96347">
        <w:rPr>
          <w:spacing w:val="2"/>
          <w:sz w:val="26"/>
          <w:szCs w:val="26"/>
          <w:lang w:val="uk-UA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C9634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C9634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C96347" w:rsidTr="00E53853">
        <w:tc>
          <w:tcPr>
            <w:tcW w:w="3960" w:type="dxa"/>
          </w:tcPr>
          <w:p w:rsidR="003D6F89" w:rsidRPr="00C96347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7B07" w:rsidRPr="00C9634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C96347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C13C20" w:rsidRPr="00C96347" w:rsidRDefault="00C13C20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Arial Unicode MS"/>
          <w:color w:val="000000"/>
          <w:sz w:val="16"/>
          <w:szCs w:val="16"/>
          <w:lang w:val="uk-UA" w:eastAsia="ru-RU"/>
        </w:rPr>
      </w:pPr>
    </w:p>
    <w:p w:rsidR="00B26672" w:rsidRDefault="00B26672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</w:p>
    <w:p w:rsidR="008A709C" w:rsidRPr="00C96347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C96347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8A709C" w:rsidRPr="00C96347" w:rsidRDefault="008A709C" w:rsidP="00FA7487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DC7B07" w:rsidRPr="00C96347" w:rsidRDefault="00DC7B07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9876BB" w:rsidRPr="00C96347">
        <w:rPr>
          <w:rFonts w:eastAsia="Calibri"/>
          <w:color w:val="000000"/>
          <w:sz w:val="26"/>
          <w:szCs w:val="26"/>
          <w:lang w:val="uk-UA" w:eastAsia="en-US"/>
        </w:rPr>
        <w:t xml:space="preserve">забезпечення </w:t>
      </w:r>
      <w:r w:rsidR="00B26672">
        <w:rPr>
          <w:rFonts w:eastAsia="Calibri"/>
          <w:color w:val="000000"/>
          <w:sz w:val="26"/>
          <w:szCs w:val="26"/>
          <w:lang w:val="uk-UA" w:eastAsia="en-US"/>
        </w:rPr>
        <w:t>ресурсозбереження</w:t>
      </w:r>
      <w:r w:rsidR="00B43339">
        <w:rPr>
          <w:rFonts w:eastAsia="Calibri"/>
          <w:color w:val="000000"/>
          <w:sz w:val="26"/>
          <w:szCs w:val="26"/>
          <w:lang w:val="uk-UA" w:eastAsia="en-US"/>
        </w:rPr>
        <w:t xml:space="preserve"> та </w:t>
      </w:r>
      <w:r w:rsidR="00B26672" w:rsidRPr="00B26672">
        <w:rPr>
          <w:rFonts w:eastAsia="Calibri"/>
          <w:color w:val="000000"/>
          <w:sz w:val="26"/>
          <w:szCs w:val="26"/>
          <w:lang w:val="uk-UA" w:eastAsia="en-US"/>
        </w:rPr>
        <w:t>збалансованого водокористування</w:t>
      </w:r>
      <w:r w:rsidR="003756B5"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014E0B" w:rsidRPr="00C96347" w:rsidRDefault="00014E0B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B43339" w:rsidRPr="00B43339">
        <w:rPr>
          <w:rFonts w:eastAsia="Calibri"/>
          <w:color w:val="000000"/>
          <w:sz w:val="26"/>
          <w:szCs w:val="26"/>
          <w:lang w:val="uk-UA" w:eastAsia="en-US"/>
        </w:rPr>
        <w:t>підвищення рівня</w:t>
      </w:r>
      <w:r w:rsidR="00B43339">
        <w:rPr>
          <w:rFonts w:eastAsia="Calibri"/>
          <w:color w:val="000000"/>
          <w:sz w:val="26"/>
          <w:szCs w:val="26"/>
          <w:lang w:val="uk-UA" w:eastAsia="en-US"/>
        </w:rPr>
        <w:t xml:space="preserve"> </w:t>
      </w:r>
      <w:r w:rsidR="00B43339" w:rsidRPr="00B43339">
        <w:rPr>
          <w:rFonts w:eastAsia="Calibri"/>
          <w:color w:val="000000"/>
          <w:sz w:val="26"/>
          <w:szCs w:val="26"/>
          <w:lang w:val="uk-UA" w:eastAsia="en-US"/>
        </w:rPr>
        <w:t>водної безпеки держави</w:t>
      </w:r>
      <w:r w:rsidR="005952E8"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C93785" w:rsidRPr="00C96347" w:rsidRDefault="004E38B6" w:rsidP="00FA7487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FF0000"/>
          <w:sz w:val="26"/>
          <w:szCs w:val="26"/>
          <w:lang w:val="uk-UA" w:eastAsia="en-US"/>
        </w:rPr>
        <w:tab/>
      </w:r>
      <w:r w:rsidR="00090D7E" w:rsidRPr="00090D7E">
        <w:rPr>
          <w:rFonts w:eastAsia="Calibri"/>
          <w:sz w:val="26"/>
          <w:szCs w:val="26"/>
          <w:lang w:val="uk-UA" w:eastAsia="en-US"/>
        </w:rPr>
        <w:t>п</w:t>
      </w:r>
      <w:r w:rsidR="00881669">
        <w:rPr>
          <w:rFonts w:eastAsia="Calibri"/>
          <w:sz w:val="26"/>
          <w:szCs w:val="26"/>
          <w:lang w:val="uk-UA" w:eastAsia="en-US"/>
        </w:rPr>
        <w:t>осилення</w:t>
      </w:r>
      <w:r w:rsidR="00090D7E" w:rsidRPr="00090D7E">
        <w:rPr>
          <w:rFonts w:eastAsia="Calibri"/>
          <w:sz w:val="26"/>
          <w:szCs w:val="26"/>
          <w:lang w:val="uk-UA" w:eastAsia="en-US"/>
        </w:rPr>
        <w:t xml:space="preserve"> відповідальності у секторі водопостачання</w:t>
      </w:r>
      <w:r w:rsidR="00591DCD" w:rsidRPr="00090D7E">
        <w:rPr>
          <w:rFonts w:eastAsia="Calibri"/>
          <w:sz w:val="26"/>
          <w:szCs w:val="26"/>
          <w:lang w:val="uk-UA" w:eastAsia="en-US"/>
        </w:rPr>
        <w:t>;</w:t>
      </w:r>
    </w:p>
    <w:p w:rsidR="00D01E82" w:rsidRPr="00C96347" w:rsidRDefault="00310743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  <w:t>збільшення інвестиційної приваб</w:t>
      </w:r>
      <w:r w:rsidR="00107750" w:rsidRPr="00C96347">
        <w:rPr>
          <w:rFonts w:eastAsia="Calibri"/>
          <w:color w:val="000000"/>
          <w:sz w:val="26"/>
          <w:szCs w:val="26"/>
          <w:lang w:val="uk-UA" w:eastAsia="en-US"/>
        </w:rPr>
        <w:t>ливості сфери</w:t>
      </w:r>
      <w:r w:rsidR="00B26672">
        <w:rPr>
          <w:rFonts w:eastAsia="Calibri"/>
          <w:color w:val="000000"/>
          <w:sz w:val="26"/>
          <w:szCs w:val="26"/>
          <w:lang w:val="uk-UA" w:eastAsia="en-US"/>
        </w:rPr>
        <w:t xml:space="preserve"> </w:t>
      </w:r>
      <w:r w:rsidR="00B26672" w:rsidRPr="00B26672">
        <w:rPr>
          <w:rFonts w:eastAsia="Calibri"/>
          <w:color w:val="000000"/>
          <w:sz w:val="26"/>
          <w:szCs w:val="26"/>
          <w:lang w:val="uk-UA" w:eastAsia="en-US"/>
        </w:rPr>
        <w:t>водопостачання</w:t>
      </w:r>
      <w:r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673299" w:rsidRPr="00C96347" w:rsidRDefault="00107750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B26672">
        <w:rPr>
          <w:rFonts w:eastAsia="Calibri"/>
          <w:color w:val="000000"/>
          <w:sz w:val="26"/>
          <w:szCs w:val="26"/>
          <w:lang w:val="uk-UA" w:eastAsia="en-US"/>
        </w:rPr>
        <w:t>п</w:t>
      </w:r>
      <w:r w:rsidR="00B26672" w:rsidRPr="00B26672">
        <w:rPr>
          <w:rFonts w:eastAsia="Calibri"/>
          <w:color w:val="000000"/>
          <w:sz w:val="26"/>
          <w:szCs w:val="26"/>
          <w:lang w:val="uk-UA" w:eastAsia="en-US"/>
        </w:rPr>
        <w:t>ідвищення прозорості у секторі водопостачання</w:t>
      </w:r>
      <w:r w:rsidR="00A2632A" w:rsidRPr="00C96347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286579" w:rsidRPr="00C96347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ED31D7" w:rsidRPr="00C96347" w:rsidRDefault="00853FD4" w:rsidP="00FA7487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C9634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C9634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853FD4" w:rsidRPr="00C96347" w:rsidRDefault="00853FD4" w:rsidP="00FA7487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:rsidR="00ED31D7" w:rsidRPr="00C9634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C9634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C96347" w:rsidTr="00853FD4">
        <w:tc>
          <w:tcPr>
            <w:tcW w:w="3950" w:type="dxa"/>
          </w:tcPr>
          <w:p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0" w:name="_Hlk15904862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C96347" w:rsidTr="00853FD4">
        <w:tc>
          <w:tcPr>
            <w:tcW w:w="3950" w:type="dxa"/>
          </w:tcPr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:rsidR="001611ED" w:rsidRDefault="001611ED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1611ED">
              <w:rPr>
                <w:sz w:val="26"/>
                <w:szCs w:val="26"/>
                <w:lang w:val="uk-UA"/>
              </w:rPr>
              <w:t>Залишення чинного регулювання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8A709C" w:rsidRPr="00C96347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C96347">
              <w:rPr>
                <w:sz w:val="26"/>
                <w:szCs w:val="26"/>
                <w:lang w:val="uk-UA"/>
              </w:rPr>
              <w:t xml:space="preserve">е </w:t>
            </w:r>
            <w:r w:rsidR="006457C0" w:rsidRPr="00C9634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C96347">
              <w:rPr>
                <w:sz w:val="26"/>
                <w:szCs w:val="26"/>
                <w:lang w:val="uk-UA"/>
              </w:rPr>
              <w:t>,</w:t>
            </w:r>
            <w:r w:rsidR="006457C0" w:rsidRPr="00C9634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C9634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C9634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B460DA" w:rsidTr="00853FD4">
        <w:tc>
          <w:tcPr>
            <w:tcW w:w="3950" w:type="dxa"/>
          </w:tcPr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C96347" w:rsidRDefault="005D3CD5" w:rsidP="00667FAA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30" w:type="dxa"/>
          </w:tcPr>
          <w:p w:rsidR="001611ED" w:rsidRDefault="001611ED" w:rsidP="008E50CF">
            <w:pPr>
              <w:pStyle w:val="rvps2"/>
              <w:spacing w:before="0" w:beforeAutospacing="0" w:after="150" w:afterAutospacing="0"/>
              <w:ind w:left="312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 xml:space="preserve">Прийняття </w:t>
            </w:r>
            <w:r w:rsidR="00E50B15" w:rsidRPr="00E50B15">
              <w:rPr>
                <w:sz w:val="26"/>
                <w:szCs w:val="26"/>
                <w:lang w:val="uk-UA"/>
              </w:rPr>
              <w:t>Закону України «</w:t>
            </w:r>
            <w:r w:rsidR="00821A13" w:rsidRPr="00821A13">
              <w:rPr>
                <w:sz w:val="26"/>
                <w:szCs w:val="26"/>
                <w:lang w:val="uk-UA"/>
              </w:rPr>
              <w:t>Про внесення змін до деяких законодавчих актів щодо діяльності з буріння та використання свердловин для добування підземних вод»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B70223" w:rsidRPr="00E50B15" w:rsidRDefault="008E50CF" w:rsidP="00821A13">
            <w:pPr>
              <w:pStyle w:val="rvps2"/>
              <w:spacing w:after="150"/>
              <w:ind w:left="312"/>
              <w:jc w:val="both"/>
              <w:rPr>
                <w:rFonts w:eastAsia="MS Mincho"/>
                <w:sz w:val="26"/>
                <w:szCs w:val="26"/>
                <w:lang w:val="uk-UA" w:eastAsia="ja-JP"/>
              </w:rPr>
            </w:pPr>
            <w:r w:rsidRPr="00C96347">
              <w:rPr>
                <w:sz w:val="26"/>
                <w:szCs w:val="26"/>
                <w:lang w:val="uk-UA"/>
              </w:rPr>
              <w:t xml:space="preserve">Внесення змін </w:t>
            </w:r>
            <w:r w:rsidR="00821A13">
              <w:rPr>
                <w:sz w:val="26"/>
                <w:szCs w:val="26"/>
                <w:lang w:val="uk-UA"/>
              </w:rPr>
              <w:t xml:space="preserve">до </w:t>
            </w:r>
            <w:r w:rsidR="00821A13" w:rsidRPr="00821A13">
              <w:rPr>
                <w:rFonts w:eastAsia="MS Mincho"/>
                <w:sz w:val="26"/>
                <w:szCs w:val="26"/>
                <w:lang w:val="uk-UA" w:eastAsia="ja-JP"/>
              </w:rPr>
              <w:t xml:space="preserve">Закону України «Про ліцензування видів господарської </w:t>
            </w:r>
            <w:r w:rsidR="00821A13" w:rsidRPr="00821A13">
              <w:rPr>
                <w:rFonts w:eastAsia="MS Mincho"/>
                <w:sz w:val="26"/>
                <w:szCs w:val="26"/>
                <w:lang w:val="uk-UA" w:eastAsia="ja-JP"/>
              </w:rPr>
              <w:lastRenderedPageBreak/>
              <w:t>діяльності»</w:t>
            </w:r>
            <w:r w:rsidRPr="00C96347">
              <w:rPr>
                <w:rFonts w:eastAsia="MS Mincho"/>
                <w:sz w:val="26"/>
                <w:szCs w:val="26"/>
                <w:lang w:val="uk-UA" w:eastAsia="ja-JP"/>
              </w:rPr>
              <w:t xml:space="preserve"> </w:t>
            </w:r>
            <w:r w:rsidR="00821A13">
              <w:rPr>
                <w:rFonts w:eastAsia="MS Mincho"/>
                <w:sz w:val="26"/>
                <w:szCs w:val="26"/>
                <w:lang w:val="uk-UA" w:eastAsia="ja-JP"/>
              </w:rPr>
              <w:t xml:space="preserve">та до Водного кодексу України щодо </w:t>
            </w:r>
            <w:r w:rsidR="00821A13" w:rsidRPr="00821A13">
              <w:rPr>
                <w:rFonts w:eastAsia="MS Mincho"/>
                <w:sz w:val="26"/>
                <w:szCs w:val="26"/>
                <w:lang w:val="uk-UA" w:eastAsia="ja-JP"/>
              </w:rPr>
              <w:t>запровадження нового виду ліцензійної діяльності з буріння свердловин для добування підземних вод та їх ліквідаці</w:t>
            </w:r>
            <w:r w:rsidR="00821A13">
              <w:rPr>
                <w:rFonts w:eastAsia="MS Mincho"/>
                <w:sz w:val="26"/>
                <w:szCs w:val="26"/>
                <w:lang w:val="uk-UA" w:eastAsia="ja-JP"/>
              </w:rPr>
              <w:t>ї</w:t>
            </w:r>
            <w:r w:rsidR="00821A13" w:rsidRPr="00821A13">
              <w:rPr>
                <w:rFonts w:eastAsia="MS Mincho"/>
                <w:sz w:val="26"/>
                <w:szCs w:val="26"/>
                <w:lang w:val="uk-UA" w:eastAsia="ja-JP"/>
              </w:rPr>
              <w:t xml:space="preserve"> та/або тампонування </w:t>
            </w:r>
            <w:r w:rsidRPr="00C96347">
              <w:rPr>
                <w:rFonts w:eastAsia="MS Mincho"/>
                <w:sz w:val="26"/>
                <w:szCs w:val="26"/>
                <w:lang w:val="uk-UA" w:eastAsia="ja-JP"/>
              </w:rPr>
              <w:t xml:space="preserve">забезпечить </w:t>
            </w:r>
            <w:r w:rsidR="00E50B15" w:rsidRPr="00E50B15">
              <w:rPr>
                <w:rFonts w:eastAsia="MS Mincho"/>
                <w:sz w:val="26"/>
                <w:szCs w:val="26"/>
                <w:lang w:val="uk-UA" w:eastAsia="ja-JP"/>
              </w:rPr>
              <w:t>підвищення якості робіт з проведення буріння свердлов</w:t>
            </w:r>
            <w:r w:rsidR="00E50B15">
              <w:rPr>
                <w:rFonts w:eastAsia="MS Mincho"/>
                <w:sz w:val="26"/>
                <w:szCs w:val="26"/>
                <w:lang w:val="uk-UA" w:eastAsia="ja-JP"/>
              </w:rPr>
              <w:t xml:space="preserve">ин для добування підземних вод; </w:t>
            </w:r>
            <w:r w:rsidR="00E50B15" w:rsidRPr="00E50B15">
              <w:rPr>
                <w:rFonts w:eastAsia="MS Mincho"/>
                <w:sz w:val="26"/>
                <w:szCs w:val="26"/>
                <w:lang w:val="uk-UA" w:eastAsia="ja-JP"/>
              </w:rPr>
              <w:t>належний ліквідаційний санітарно-технічний тампонаж таких свердловин пі</w:t>
            </w:r>
            <w:r w:rsidR="00E50B15">
              <w:rPr>
                <w:rFonts w:eastAsia="MS Mincho"/>
                <w:sz w:val="26"/>
                <w:szCs w:val="26"/>
                <w:lang w:val="uk-UA" w:eastAsia="ja-JP"/>
              </w:rPr>
              <w:t xml:space="preserve">сля припинення їх експлуатації; </w:t>
            </w:r>
            <w:r w:rsidR="00E50B15" w:rsidRPr="00E50B15">
              <w:rPr>
                <w:rFonts w:eastAsia="MS Mincho"/>
                <w:sz w:val="26"/>
                <w:szCs w:val="26"/>
                <w:lang w:val="uk-UA" w:eastAsia="ja-JP"/>
              </w:rPr>
              <w:t>можливість подання відповідними суб'єктами господарювання, які виконуватимуть роботи з буріння, ліквідації та/або тампонування, даних про пробурені свердловини для добування підземних вод до Державного реєстру артезіанських свердловин, що у свою чергу забезпечить наявність необхідних даних про водозабірні споруди на території держави</w:t>
            </w:r>
            <w:r w:rsidRPr="00C96347">
              <w:rPr>
                <w:rFonts w:eastAsia="MS Mincho"/>
                <w:sz w:val="26"/>
                <w:szCs w:val="26"/>
                <w:lang w:val="uk-UA" w:eastAsia="ja-JP"/>
              </w:rPr>
              <w:t>.</w:t>
            </w:r>
          </w:p>
        </w:tc>
      </w:tr>
    </w:tbl>
    <w:bookmarkEnd w:id="0"/>
    <w:p w:rsidR="00913FF1" w:rsidRPr="00C9634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lastRenderedPageBreak/>
        <w:t>Оцінка вибраних альтернативних способів досягнення цілей</w:t>
      </w:r>
    </w:p>
    <w:p w:rsidR="00913FF1" w:rsidRPr="00C9634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C96347" w:rsidTr="00770F12">
        <w:tc>
          <w:tcPr>
            <w:tcW w:w="243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6A3C2B" w:rsidTr="00770F12">
        <w:tc>
          <w:tcPr>
            <w:tcW w:w="243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C9634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C9634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B45FDC" w:rsidRPr="00C96347" w:rsidRDefault="001611ED" w:rsidP="0046585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1611ED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Неналежне виконання рішен</w:t>
            </w:r>
            <w:r w:rsidR="0046585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ь</w:t>
            </w:r>
            <w:r w:rsidRPr="001611ED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РНБО щодо </w:t>
            </w:r>
            <w:r w:rsidR="00465853" w:rsidRPr="0046585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забезпечення водної безпеки держави</w:t>
            </w:r>
            <w:r w:rsidR="0046585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, ресурсозбереження, </w:t>
            </w:r>
            <w:r w:rsidR="00465853" w:rsidRPr="0046585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збалансованого </w:t>
            </w:r>
            <w:r w:rsidR="00465853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водокористування.</w:t>
            </w:r>
          </w:p>
        </w:tc>
      </w:tr>
      <w:tr w:rsidR="00A01622" w:rsidRPr="00C96347" w:rsidTr="00770F12">
        <w:tc>
          <w:tcPr>
            <w:tcW w:w="2430" w:type="dxa"/>
          </w:tcPr>
          <w:p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:rsidR="002300F1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</w:t>
            </w:r>
            <w:r w:rsidR="00E507CC" w:rsidRPr="00E507CC">
              <w:rPr>
                <w:rFonts w:eastAsia="Times New Roman"/>
                <w:sz w:val="26"/>
                <w:szCs w:val="26"/>
                <w:lang w:val="uk-UA" w:eastAsia="ru-RU"/>
              </w:rPr>
              <w:t>ресурсозбереження та збалансованого водокористування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756B5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Захист національних інтересів держави в </w:t>
            </w:r>
            <w:r w:rsidR="00E507CC">
              <w:rPr>
                <w:rFonts w:eastAsia="Times New Roman"/>
                <w:sz w:val="26"/>
                <w:szCs w:val="26"/>
                <w:lang w:val="uk-UA" w:eastAsia="ru-RU"/>
              </w:rPr>
              <w:t>екологічній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сфері</w:t>
            </w:r>
            <w:r w:rsidR="0038177C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Підтримка на належному рівні </w:t>
            </w:r>
            <w:r w:rsidR="00E507CC">
              <w:rPr>
                <w:rFonts w:eastAsia="Times New Roman"/>
                <w:sz w:val="26"/>
                <w:szCs w:val="26"/>
                <w:lang w:val="uk-UA" w:eastAsia="ru-RU"/>
              </w:rPr>
              <w:t>водної безпеки держави</w:t>
            </w:r>
            <w:r w:rsidR="004027A9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Pr="00C96347" w:rsidRDefault="004F1F08" w:rsidP="00E507CC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</w:t>
            </w:r>
            <w:r w:rsidR="0031443E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ивості сфери </w:t>
            </w:r>
            <w:r w:rsidR="00E507CC">
              <w:rPr>
                <w:rFonts w:eastAsia="Times New Roman"/>
                <w:sz w:val="26"/>
                <w:szCs w:val="26"/>
                <w:lang w:val="uk-UA" w:eastAsia="ru-RU"/>
              </w:rPr>
              <w:t>водокористування</w:t>
            </w:r>
            <w:r w:rsidR="0031443E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Pr="00C9634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C9634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lastRenderedPageBreak/>
        <w:t>Оцінка впл</w:t>
      </w:r>
      <w:r w:rsidR="008A3865" w:rsidRPr="00C9634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C9634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C9634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C9634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C9634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C9634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C9634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3669"/>
        <w:gridCol w:w="3022"/>
      </w:tblGrid>
      <w:tr w:rsidR="00913FF1" w:rsidRPr="00C96347" w:rsidTr="00052585">
        <w:trPr>
          <w:trHeight w:val="20"/>
        </w:trPr>
        <w:tc>
          <w:tcPr>
            <w:tcW w:w="2485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C96347" w:rsidTr="00052585">
        <w:trPr>
          <w:trHeight w:val="20"/>
        </w:trPr>
        <w:tc>
          <w:tcPr>
            <w:tcW w:w="2485" w:type="dxa"/>
          </w:tcPr>
          <w:p w:rsidR="003E6CA5" w:rsidRPr="00C9634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C9634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18206D" w:rsidRPr="00C96347" w:rsidRDefault="002A31B3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 залишаться на існуючому рівні.</w:t>
            </w:r>
          </w:p>
        </w:tc>
      </w:tr>
      <w:tr w:rsidR="007C624B" w:rsidRPr="00C96347" w:rsidTr="00052585">
        <w:trPr>
          <w:trHeight w:val="20"/>
        </w:trPr>
        <w:tc>
          <w:tcPr>
            <w:tcW w:w="2485" w:type="dxa"/>
          </w:tcPr>
          <w:p w:rsidR="007C624B" w:rsidRPr="00C9634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:rsidR="004027A9" w:rsidRPr="00C9634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="006D3492" w:rsidRPr="006D3492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у секторі водопостачання</w:t>
            </w:r>
            <w:r w:rsidR="009A70C7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4027A9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  <w:p w:rsidR="006D3492" w:rsidRPr="00C96347" w:rsidRDefault="006D3492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П</w:t>
            </w:r>
            <w:r w:rsidRPr="006D3492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ідвищення інвестиційної привабливості сфери водопостачання</w:t>
            </w:r>
            <w:r w:rsidR="000F6A44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:rsidR="00410C85" w:rsidRDefault="00410C85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1" w:name="_Hlk16164988"/>
    </w:p>
    <w:p w:rsidR="00D068F4" w:rsidRPr="00410C85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410C85">
        <w:rPr>
          <w:rFonts w:eastAsia="Times New Roman"/>
          <w:b/>
          <w:sz w:val="26"/>
          <w:szCs w:val="26"/>
          <w:lang w:val="uk-UA" w:eastAsia="ru-RU"/>
        </w:rPr>
        <w:t>ТЕСТ</w:t>
      </w:r>
      <w:r w:rsidR="008E2888" w:rsidRPr="00410C85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410C85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410C85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410C85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410C85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410C85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410C85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410C85">
        <w:rPr>
          <w:rFonts w:eastAsia="Times New Roman"/>
          <w:sz w:val="26"/>
          <w:szCs w:val="26"/>
          <w:lang w:val="uk-UA" w:eastAsia="ru-RU"/>
        </w:rPr>
        <w:t xml:space="preserve">з </w:t>
      </w:r>
      <w:r w:rsidR="00071A58" w:rsidRPr="00410C85">
        <w:rPr>
          <w:rFonts w:eastAsia="Times New Roman"/>
          <w:sz w:val="26"/>
          <w:szCs w:val="26"/>
          <w:lang w:val="uk-UA" w:eastAsia="ru-RU"/>
        </w:rPr>
        <w:t>17</w:t>
      </w:r>
      <w:r w:rsidR="003C470B" w:rsidRPr="00410C85">
        <w:rPr>
          <w:rFonts w:eastAsia="Times New Roman"/>
          <w:sz w:val="26"/>
          <w:szCs w:val="26"/>
          <w:lang w:val="uk-UA" w:eastAsia="ru-RU"/>
        </w:rPr>
        <w:t>.</w:t>
      </w:r>
      <w:r w:rsidR="00071A58" w:rsidRPr="00410C85">
        <w:rPr>
          <w:rFonts w:eastAsia="Times New Roman"/>
          <w:sz w:val="26"/>
          <w:szCs w:val="26"/>
          <w:lang w:val="uk-UA" w:eastAsia="ru-RU"/>
        </w:rPr>
        <w:t>01</w:t>
      </w:r>
      <w:r w:rsidR="00176DD3" w:rsidRPr="00410C85">
        <w:rPr>
          <w:rFonts w:eastAsia="Times New Roman"/>
          <w:sz w:val="26"/>
          <w:szCs w:val="26"/>
          <w:lang w:val="uk-UA" w:eastAsia="ru-RU"/>
        </w:rPr>
        <w:t>.20</w:t>
      </w:r>
      <w:r w:rsidR="009827C4" w:rsidRPr="00410C85">
        <w:rPr>
          <w:rFonts w:eastAsia="Times New Roman"/>
          <w:sz w:val="26"/>
          <w:szCs w:val="26"/>
          <w:lang w:val="uk-UA" w:eastAsia="ru-RU"/>
        </w:rPr>
        <w:t>2</w:t>
      </w:r>
      <w:r w:rsidR="00071A58" w:rsidRPr="00410C85">
        <w:rPr>
          <w:rFonts w:eastAsia="Times New Roman"/>
          <w:sz w:val="26"/>
          <w:szCs w:val="26"/>
          <w:lang w:val="uk-UA" w:eastAsia="ru-RU"/>
        </w:rPr>
        <w:t>2</w:t>
      </w:r>
      <w:r w:rsidRPr="00410C85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071A58" w:rsidRPr="00410C85">
        <w:rPr>
          <w:rFonts w:eastAsia="Times New Roman"/>
          <w:sz w:val="26"/>
          <w:szCs w:val="26"/>
          <w:lang w:val="uk-UA" w:eastAsia="ru-RU"/>
        </w:rPr>
        <w:t>28</w:t>
      </w:r>
      <w:r w:rsidR="003C470B" w:rsidRPr="00410C85">
        <w:rPr>
          <w:rFonts w:eastAsia="Times New Roman"/>
          <w:sz w:val="26"/>
          <w:szCs w:val="26"/>
          <w:lang w:val="uk-UA" w:eastAsia="ru-RU"/>
        </w:rPr>
        <w:t>.</w:t>
      </w:r>
      <w:r w:rsidR="00071A58" w:rsidRPr="00410C85">
        <w:rPr>
          <w:rFonts w:eastAsia="Times New Roman"/>
          <w:sz w:val="26"/>
          <w:szCs w:val="26"/>
          <w:lang w:val="uk-UA" w:eastAsia="ru-RU"/>
        </w:rPr>
        <w:t>01.2022</w:t>
      </w:r>
      <w:r w:rsidRPr="00410C85">
        <w:rPr>
          <w:rFonts w:eastAsia="Times New Roman"/>
          <w:sz w:val="26"/>
          <w:szCs w:val="26"/>
          <w:lang w:val="uk-UA" w:eastAsia="ru-RU"/>
        </w:rPr>
        <w:t>.</w:t>
      </w: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C96347" w:rsidTr="002A31B3">
        <w:tc>
          <w:tcPr>
            <w:tcW w:w="1384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C96347" w:rsidTr="002A31B3">
        <w:tc>
          <w:tcPr>
            <w:tcW w:w="1384" w:type="dxa"/>
            <w:shd w:val="clear" w:color="auto" w:fill="auto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</w:t>
            </w:r>
            <w:proofErr w:type="spellStart"/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068F4" w:rsidRPr="00C96347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C96347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C96347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C96347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C96347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2.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C96347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81,5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39195D" w:rsidRPr="00C96347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C96347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516C4D" w:rsidRDefault="00C220D3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9241DF" w:rsidRPr="00C96347">
        <w:rPr>
          <w:rFonts w:eastAsia="Times New Roman"/>
          <w:sz w:val="26"/>
          <w:szCs w:val="26"/>
          <w:lang w:val="uk-UA" w:eastAsia="ru-RU"/>
        </w:rPr>
        <w:t>1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рік», </w:t>
      </w:r>
      <w:r w:rsidR="00FF346E" w:rsidRPr="00FF346E">
        <w:rPr>
          <w:rFonts w:eastAsia="Times New Roman"/>
          <w:sz w:val="26"/>
          <w:szCs w:val="26"/>
          <w:lang w:val="uk-UA" w:eastAsia="ru-RU"/>
        </w:rPr>
        <w:t>з 1 січня 2022 року становить – 39,26 гривні.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 xml:space="preserve">  </w:t>
      </w:r>
    </w:p>
    <w:p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490A10" w:rsidRPr="00C96347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C96347">
        <w:rPr>
          <w:rFonts w:eastAsia="Times New Roman"/>
          <w:sz w:val="26"/>
          <w:szCs w:val="26"/>
          <w:lang w:val="uk-UA" w:eastAsia="ru-RU"/>
        </w:rPr>
        <w:t>кту</w:t>
      </w:r>
      <w:proofErr w:type="spellEnd"/>
      <w:r w:rsidR="00782D2A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10C85" w:rsidRPr="00410C85">
        <w:rPr>
          <w:sz w:val="26"/>
          <w:szCs w:val="26"/>
          <w:lang w:val="uk-UA"/>
        </w:rPr>
        <w:t>Закону України «</w:t>
      </w:r>
      <w:r w:rsidR="00B821CE" w:rsidRPr="00B821CE">
        <w:rPr>
          <w:sz w:val="26"/>
          <w:szCs w:val="26"/>
          <w:lang w:val="uk-UA"/>
        </w:rPr>
        <w:t>Про внесення змін до деяких законодавчих актів щодо діяльності з буріння та використання свердловин для добування підземних вод»</w:t>
      </w:r>
      <w:r w:rsidR="001618FF" w:rsidRPr="00C96347">
        <w:rPr>
          <w:sz w:val="26"/>
          <w:szCs w:val="26"/>
          <w:lang w:val="uk-UA"/>
        </w:rPr>
        <w:t xml:space="preserve"> 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 xml:space="preserve">на офіційному </w:t>
      </w:r>
      <w:proofErr w:type="spellStart"/>
      <w:r w:rsidR="00AE0E19" w:rsidRPr="00C96347">
        <w:rPr>
          <w:rFonts w:eastAsia="Times New Roman"/>
          <w:sz w:val="26"/>
          <w:szCs w:val="26"/>
          <w:lang w:val="uk-UA" w:eastAsia="ru-RU"/>
        </w:rPr>
        <w:t>веб</w:t>
      </w:r>
      <w:r w:rsidRPr="00C9634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>,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FF346E" w:rsidRPr="00C96347" w:rsidRDefault="00FF346E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C9634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C9634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C96347" w:rsidTr="00C07ECB">
        <w:tc>
          <w:tcPr>
            <w:tcW w:w="9540" w:type="dxa"/>
            <w:gridSpan w:val="9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Оцінка «прямих» витрат суб’єктів малого підприємництва на виконання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регулювання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C96347" w:rsidTr="0049181B">
        <w:tc>
          <w:tcPr>
            <w:tcW w:w="9540" w:type="dxa"/>
            <w:gridSpan w:val="9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2" w:name="_Hlk508910343"/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Оцінка вартості адміністративних процедур суб’єктів малого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підприємництва щодо виконання регулювання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710C" w:rsidRPr="00D9710C" w:rsidRDefault="00052585" w:rsidP="00D9710C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0,5</w:t>
            </w:r>
            <w:r w:rsidR="00692C0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692C0F" w:rsidRPr="00C9634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692C0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="00D9710C" w:rsidRPr="00D9710C">
              <w:rPr>
                <w:rFonts w:eastAsia="Times New Roman"/>
                <w:sz w:val="26"/>
                <w:szCs w:val="26"/>
                <w:lang w:val="uk-UA" w:eastAsia="ru-RU"/>
              </w:rPr>
              <w:t xml:space="preserve">39,26 грн. = </w:t>
            </w:r>
          </w:p>
          <w:p w:rsidR="00692C0F" w:rsidRPr="00D9710C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4E27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274B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D9710C" w:rsidRPr="00C96347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9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D9710C" w:rsidRPr="00132E78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hanging="34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19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9710C" w:rsidRPr="00C96347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D9710C" w:rsidRPr="00132E78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D9710C" w:rsidRPr="00C96347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45659,38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D9710C" w:rsidRPr="00132E78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185E08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45659,38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</w:tbl>
    <w:p w:rsidR="0049181B" w:rsidRPr="00C96347" w:rsidRDefault="0049181B" w:rsidP="00FA7487">
      <w:pPr>
        <w:rPr>
          <w:sz w:val="16"/>
          <w:szCs w:val="16"/>
          <w:lang w:val="uk-UA"/>
        </w:rPr>
      </w:pPr>
    </w:p>
    <w:bookmarkEnd w:id="1"/>
    <w:bookmarkEnd w:id="2"/>
    <w:p w:rsidR="00E32243" w:rsidRPr="00C9634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567044" w:rsidRPr="00C9634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D9710C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19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9710C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0.00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0.00 грн </w:t>
            </w:r>
          </w:p>
        </w:tc>
      </w:tr>
      <w:tr w:rsidR="00D9710C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19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9710C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D9710C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D9710C" w:rsidRPr="00C96347" w:rsidRDefault="00D9710C" w:rsidP="00D9710C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10325,38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C" w:rsidRPr="00C96347" w:rsidRDefault="00D9710C" w:rsidP="00D9710C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185E08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10325,38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CE4E6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E32243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C9634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  <w:p w:rsidR="00E32243" w:rsidRPr="00C9634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3" w:name="_Hlk16069202"/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D9710C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710C" w:rsidRPr="00132E78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D9710C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710C" w:rsidRPr="00C52999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8371A">
              <w:rPr>
                <w:rFonts w:eastAsia="Times New Roman"/>
                <w:sz w:val="26"/>
                <w:szCs w:val="26"/>
                <w:lang w:val="uk-UA" w:eastAsia="ru-RU"/>
              </w:rPr>
              <w:t xml:space="preserve">10325,38 </w:t>
            </w:r>
            <w:r w:rsidRPr="00C52999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tr w:rsidR="00D9710C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8371A">
              <w:rPr>
                <w:rFonts w:eastAsia="Times New Roman"/>
                <w:sz w:val="26"/>
                <w:szCs w:val="26"/>
                <w:lang w:val="uk-UA" w:eastAsia="ru-RU"/>
              </w:rPr>
              <w:t xml:space="preserve">45659,38 </w:t>
            </w:r>
            <w:r w:rsidRPr="00C5299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bookmarkEnd w:id="3"/>
    </w:tbl>
    <w:p w:rsidR="00466D05" w:rsidRPr="00C9634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C9634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C96347" w:rsidTr="00191984">
        <w:tc>
          <w:tcPr>
            <w:tcW w:w="2430" w:type="dxa"/>
          </w:tcPr>
          <w:p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C9634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382BB0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C96347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C96347">
              <w:rPr>
                <w:sz w:val="26"/>
                <w:szCs w:val="26"/>
                <w:lang w:val="uk-UA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0739FB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</w:t>
            </w:r>
            <w:r w:rsidR="00E421C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налізу.</w:t>
            </w:r>
          </w:p>
        </w:tc>
      </w:tr>
      <w:tr w:rsidR="00F111FF" w:rsidRPr="00071A58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410C85" w:rsidRPr="00410C85" w:rsidRDefault="00410C85" w:rsidP="00410C85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0C85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ресурсозбереження та збалансованого водокористування;</w:t>
            </w:r>
          </w:p>
          <w:p w:rsidR="00410C85" w:rsidRPr="00410C85" w:rsidRDefault="00410C85" w:rsidP="00410C85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0C85">
              <w:rPr>
                <w:rFonts w:eastAsia="Times New Roman"/>
                <w:sz w:val="26"/>
                <w:szCs w:val="26"/>
                <w:lang w:val="uk-UA" w:eastAsia="ru-RU"/>
              </w:rPr>
              <w:t>підвищення рівня водної безпеки держави;</w:t>
            </w:r>
          </w:p>
          <w:p w:rsidR="00410C85" w:rsidRPr="00410C85" w:rsidRDefault="00410C85" w:rsidP="00410C85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0C85">
              <w:rPr>
                <w:rFonts w:eastAsia="Times New Roman"/>
                <w:sz w:val="26"/>
                <w:szCs w:val="26"/>
                <w:lang w:val="uk-UA" w:eastAsia="ru-RU"/>
              </w:rPr>
              <w:t>посилення відповідальності у секторі водопостачання;</w:t>
            </w:r>
          </w:p>
          <w:p w:rsidR="00410C85" w:rsidRPr="00410C85" w:rsidRDefault="00410C85" w:rsidP="00410C85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0C85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водопостачання;</w:t>
            </w:r>
          </w:p>
          <w:p w:rsidR="00F111FF" w:rsidRPr="00C96347" w:rsidRDefault="00410C85" w:rsidP="00410C85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0C85">
              <w:rPr>
                <w:rFonts w:eastAsia="Times New Roman"/>
                <w:sz w:val="26"/>
                <w:szCs w:val="26"/>
                <w:lang w:val="uk-UA" w:eastAsia="ru-RU"/>
              </w:rPr>
              <w:t>підвищення прозорості у секторі водопостачання.</w:t>
            </w:r>
          </w:p>
        </w:tc>
      </w:tr>
      <w:tr w:rsidR="00EC6739" w:rsidRPr="00071A58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C96347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Обґрунтування відповідного місця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альтернативи у рейтингу</w:t>
            </w:r>
          </w:p>
        </w:tc>
      </w:tr>
      <w:tr w:rsidR="00382BB0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C9634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953799" w:rsidRPr="00953799" w:rsidRDefault="00953799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Забезпечення ресурсозбереження та збалансованого водокористування.</w:t>
            </w:r>
          </w:p>
          <w:p w:rsidR="00953799" w:rsidRPr="00953799" w:rsidRDefault="00953799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Захист національних інтересів держави в екологічній сфері.</w:t>
            </w:r>
          </w:p>
          <w:p w:rsidR="00953799" w:rsidRPr="00953799" w:rsidRDefault="00953799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Підтримка на належному рівні водної безпеки держави.</w:t>
            </w:r>
          </w:p>
          <w:p w:rsidR="00953799" w:rsidRDefault="00953799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Збільшення інвестиційної привабливості сфери водокористування.</w:t>
            </w:r>
          </w:p>
          <w:p w:rsidR="00A05264" w:rsidRPr="00C96347" w:rsidRDefault="00ED0095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953799" w:rsidRPr="00953799" w:rsidRDefault="00953799" w:rsidP="00953799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відкритості та прозорості у секторі водопостачання.</w:t>
            </w:r>
          </w:p>
          <w:p w:rsidR="00953799" w:rsidRPr="00953799" w:rsidRDefault="00953799" w:rsidP="00953799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  <w:p w:rsidR="00ED0095" w:rsidRPr="00C96347" w:rsidRDefault="00953799" w:rsidP="0095379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953799">
              <w:rPr>
                <w:rFonts w:eastAsia="Times New Roman"/>
                <w:sz w:val="26"/>
                <w:szCs w:val="26"/>
                <w:lang w:val="uk-UA" w:eastAsia="ru-RU"/>
              </w:rPr>
              <w:t>Підвищення інвестиційної привабливості сфери водопостачання.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C9634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C9634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C96347" w:rsidRDefault="008F16E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C9634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:rsidR="00856E3E" w:rsidRPr="00C96347" w:rsidRDefault="008F16E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BE4353" w:rsidRPr="00C9634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BE4353" w:rsidRPr="00C9634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:rsidR="00A05264" w:rsidRPr="00C96347" w:rsidRDefault="00A0526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C9634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C65004"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65004" w:rsidRPr="00C96347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:rsidR="00A93A55" w:rsidRPr="00C9634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C96347" w:rsidRDefault="00952DDF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залишаться на існуючому рівні</w:t>
            </w:r>
            <w:r w:rsidR="00BE4353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C9634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C9634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C96347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Аргументи щодо переваги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Оцінка ризику зовнішніх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чинників на дію запропонованого регуляторного </w:t>
            </w:r>
            <w:proofErr w:type="spellStart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382BB0" w:rsidRPr="00C96347" w:rsidTr="00E13CD6">
        <w:tc>
          <w:tcPr>
            <w:tcW w:w="2430" w:type="dxa"/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1.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C9634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C96347" w:rsidTr="00E13CD6">
        <w:tc>
          <w:tcPr>
            <w:tcW w:w="2430" w:type="dxa"/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B27CA4" w:rsidRDefault="00191984" w:rsidP="00980DA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Така альтернатива досягнення цілей державного регулювання сприятиме</w:t>
            </w:r>
            <w:r w:rsidR="00953799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підтримці на належному рівні водної безпеки держави</w:t>
            </w:r>
            <w:r w:rsidR="00A40E76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r w:rsid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забезпеченню</w:t>
            </w:r>
            <w:r w:rsidR="00B27CA4" w:rsidRP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ресурсозбереження та збалансовано</w:t>
            </w:r>
            <w:r w:rsid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го водокористування, з</w:t>
            </w:r>
            <w:r w:rsidR="00B27CA4" w:rsidRP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ахист</w:t>
            </w:r>
            <w:r w:rsid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у</w:t>
            </w:r>
            <w:r w:rsidR="00B27CA4" w:rsidRP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національних інтересів держави в екологічній сфері</w:t>
            </w:r>
            <w:r w:rsid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, забезпеченню</w:t>
            </w:r>
            <w:r w:rsidR="00B27CA4" w:rsidRPr="00B27CA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="00980DA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сектору</w:t>
            </w: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980DA8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водопостачання</w:t>
            </w: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, та покращенню інвестиційних показників.</w:t>
            </w:r>
            <w:r w:rsidR="007F49C2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C9634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відсутній</w:t>
            </w:r>
            <w:r w:rsidR="008E1445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C9634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C9634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C9634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Pr="00C9634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4" w:name="n79"/>
      <w:bookmarkStart w:id="5" w:name="n80"/>
      <w:bookmarkStart w:id="6" w:name="n81"/>
      <w:bookmarkStart w:id="7" w:name="n83"/>
      <w:bookmarkStart w:id="8" w:name="n89"/>
      <w:bookmarkStart w:id="9" w:name="n90"/>
      <w:bookmarkStart w:id="10" w:name="n91"/>
      <w:bookmarkStart w:id="11" w:name="n92"/>
      <w:bookmarkStart w:id="12" w:name="n93"/>
      <w:bookmarkStart w:id="13" w:name="n94"/>
      <w:bookmarkStart w:id="14" w:name="n95"/>
      <w:bookmarkStart w:id="15" w:name="n97"/>
      <w:bookmarkStart w:id="16" w:name="_Hlk4892622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96347">
        <w:rPr>
          <w:rFonts w:eastAsia="Times New Roman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>, що в свою чергу забезпечить:</w:t>
      </w:r>
    </w:p>
    <w:p w:rsidR="0012534A" w:rsidRPr="007B2B03" w:rsidRDefault="007B2B03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7B2B03">
        <w:rPr>
          <w:rFonts w:eastAsia="Times New Roman"/>
          <w:sz w:val="26"/>
          <w:szCs w:val="26"/>
          <w:lang w:val="uk-UA" w:eastAsia="ru-RU"/>
        </w:rPr>
        <w:t>збалансоване водокористування</w:t>
      </w:r>
      <w:r w:rsidR="0012534A" w:rsidRPr="007B2B03">
        <w:rPr>
          <w:sz w:val="26"/>
          <w:szCs w:val="26"/>
          <w:shd w:val="clear" w:color="auto" w:fill="FFFFFF"/>
          <w:lang w:val="uk-UA"/>
        </w:rPr>
        <w:t>;</w:t>
      </w:r>
    </w:p>
    <w:p w:rsidR="0052700F" w:rsidRPr="007B2B03" w:rsidRDefault="0052700F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7B2B03">
        <w:rPr>
          <w:sz w:val="26"/>
          <w:szCs w:val="26"/>
          <w:shd w:val="clear" w:color="auto" w:fill="FFFFFF"/>
          <w:lang w:val="uk-UA"/>
        </w:rPr>
        <w:t xml:space="preserve">підтримку на </w:t>
      </w:r>
      <w:r w:rsidR="00980DA8" w:rsidRPr="007B2B03">
        <w:rPr>
          <w:sz w:val="26"/>
          <w:szCs w:val="26"/>
          <w:shd w:val="clear" w:color="auto" w:fill="FFFFFF"/>
          <w:lang w:val="uk-UA"/>
        </w:rPr>
        <w:t>належному рівні водної безпеки держави</w:t>
      </w:r>
      <w:r w:rsidRPr="007B2B03">
        <w:rPr>
          <w:sz w:val="26"/>
          <w:szCs w:val="26"/>
          <w:shd w:val="clear" w:color="auto" w:fill="FFFFFF"/>
          <w:lang w:val="uk-UA"/>
        </w:rPr>
        <w:t>;</w:t>
      </w:r>
    </w:p>
    <w:p w:rsidR="007B2B03" w:rsidRPr="007B2B03" w:rsidRDefault="007B2B03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7B2B03">
        <w:rPr>
          <w:sz w:val="26"/>
          <w:szCs w:val="26"/>
          <w:shd w:val="clear" w:color="auto" w:fill="FFFFFF"/>
          <w:lang w:val="uk-UA"/>
        </w:rPr>
        <w:t>захист національних інтересів держави в екологічній сфері</w:t>
      </w:r>
    </w:p>
    <w:p w:rsidR="00582E82" w:rsidRPr="007B2B03" w:rsidRDefault="00582E82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7B2B03">
        <w:rPr>
          <w:sz w:val="26"/>
          <w:szCs w:val="26"/>
          <w:shd w:val="clear" w:color="auto" w:fill="FFFFFF"/>
          <w:lang w:val="uk-UA"/>
        </w:rPr>
        <w:t>посилення відповідальності у секторі водопостачання</w:t>
      </w:r>
    </w:p>
    <w:p w:rsidR="0012534A" w:rsidRPr="00C96347" w:rsidRDefault="0012534A" w:rsidP="00582E82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7B2B03">
        <w:rPr>
          <w:rFonts w:eastAsia="Times New Roman"/>
          <w:sz w:val="26"/>
          <w:szCs w:val="26"/>
          <w:lang w:val="uk-UA" w:eastAsia="ru-RU"/>
        </w:rPr>
        <w:t xml:space="preserve">відкритість та прозорість сфери </w:t>
      </w:r>
      <w:r w:rsidR="004508CC" w:rsidRPr="007B2B03">
        <w:rPr>
          <w:rFonts w:eastAsia="Times New Roman"/>
          <w:sz w:val="26"/>
          <w:szCs w:val="26"/>
          <w:lang w:val="uk-UA" w:eastAsia="ru-RU"/>
        </w:rPr>
        <w:t>водокористування</w:t>
      </w:r>
      <w:r w:rsidR="007B2B03" w:rsidRPr="007B2B03">
        <w:rPr>
          <w:rFonts w:eastAsia="Times New Roman"/>
          <w:sz w:val="26"/>
          <w:szCs w:val="26"/>
          <w:lang w:val="uk-UA" w:eastAsia="ru-RU"/>
        </w:rPr>
        <w:t>.</w:t>
      </w:r>
    </w:p>
    <w:p w:rsidR="00AA042E" w:rsidRPr="00C9634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941556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941556">
        <w:rPr>
          <w:rFonts w:eastAsia="Times New Roman"/>
          <w:sz w:val="26"/>
          <w:szCs w:val="26"/>
          <w:lang w:val="uk-UA" w:eastAsia="ru-RU"/>
        </w:rPr>
        <w:t xml:space="preserve"> необхідно забезпечити 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погодження регуляторного </w:t>
      </w:r>
      <w:proofErr w:type="spellStart"/>
      <w:r w:rsidR="00C94A63"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 із заінтересован</w:t>
      </w:r>
      <w:r w:rsidR="0052700F" w:rsidRPr="00941556">
        <w:rPr>
          <w:rFonts w:eastAsia="Times New Roman"/>
          <w:sz w:val="26"/>
          <w:szCs w:val="26"/>
          <w:lang w:val="uk-UA" w:eastAsia="ru-RU"/>
        </w:rPr>
        <w:t>и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>ми орган</w:t>
      </w:r>
      <w:r w:rsidR="00530CBB" w:rsidRPr="00941556">
        <w:rPr>
          <w:rFonts w:eastAsia="Times New Roman"/>
          <w:sz w:val="26"/>
          <w:szCs w:val="26"/>
          <w:lang w:val="uk-UA" w:eastAsia="ru-RU"/>
        </w:rPr>
        <w:t>а</w:t>
      </w:r>
      <w:r w:rsidR="00807627" w:rsidRPr="00941556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його на </w:t>
      </w:r>
      <w:proofErr w:type="spellStart"/>
      <w:r w:rsidR="00FB239A" w:rsidRPr="00941556">
        <w:rPr>
          <w:rFonts w:eastAsia="Times New Roman"/>
          <w:sz w:val="26"/>
          <w:szCs w:val="26"/>
          <w:lang w:val="uk-UA" w:eastAsia="ru-RU"/>
        </w:rPr>
        <w:t>розгяд</w:t>
      </w:r>
      <w:proofErr w:type="spellEnd"/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 Кабінету Міністрів України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, </w:t>
      </w:r>
      <w:r w:rsidR="00EC216F" w:rsidRPr="00941556">
        <w:rPr>
          <w:rFonts w:eastAsia="Times New Roman"/>
          <w:sz w:val="26"/>
          <w:szCs w:val="26"/>
          <w:lang w:val="uk-UA" w:eastAsia="ru-RU"/>
        </w:rPr>
        <w:t>забезпечення супроводження його у Верховній Раді України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>,</w:t>
      </w:r>
      <w:r w:rsidR="00EC216F" w:rsidRPr="00941556">
        <w:rPr>
          <w:rFonts w:eastAsia="Times New Roman"/>
          <w:sz w:val="26"/>
          <w:szCs w:val="26"/>
          <w:lang w:val="uk-UA" w:eastAsia="ru-RU"/>
        </w:rPr>
        <w:t xml:space="preserve">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інформування 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 xml:space="preserve">суб’єктів господарювання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про вимоги регуляторного </w:t>
      </w:r>
      <w:proofErr w:type="spellStart"/>
      <w:r w:rsidR="00FB239A"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 шляхом його оприлюднення </w:t>
      </w:r>
      <w:r w:rsidR="00F65B83" w:rsidRPr="00941556">
        <w:rPr>
          <w:rFonts w:eastAsia="Times New Roman"/>
          <w:sz w:val="26"/>
          <w:szCs w:val="26"/>
          <w:lang w:val="uk-UA" w:eastAsia="ru-RU"/>
        </w:rPr>
        <w:t>в</w:t>
      </w:r>
      <w:r w:rsidR="004F6E75" w:rsidRPr="00941556">
        <w:rPr>
          <w:rFonts w:eastAsia="Times New Roman"/>
          <w:sz w:val="26"/>
          <w:szCs w:val="26"/>
          <w:lang w:val="uk-UA" w:eastAsia="ru-RU"/>
        </w:rPr>
        <w:t xml:space="preserve"> офіційних виданнях – 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 xml:space="preserve">Голосі України, </w:t>
      </w:r>
      <w:r w:rsidR="004F6E75" w:rsidRPr="00941556">
        <w:rPr>
          <w:rFonts w:eastAsia="Times New Roman"/>
          <w:sz w:val="26"/>
          <w:szCs w:val="26"/>
          <w:lang w:val="uk-UA" w:eastAsia="ru-RU"/>
        </w:rPr>
        <w:t>Офіційному віснику України та газеті «Урядовий кур’єр».</w:t>
      </w:r>
    </w:p>
    <w:p w:rsidR="00AA042E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lastRenderedPageBreak/>
        <w:t xml:space="preserve">Заходи, які необхідно здійснити </w:t>
      </w:r>
      <w:r w:rsidR="00D429FA" w:rsidRPr="00C9634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C9634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C9634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C96347">
        <w:rPr>
          <w:rFonts w:eastAsia="Times New Roman"/>
          <w:sz w:val="26"/>
          <w:szCs w:val="26"/>
          <w:lang w:val="uk-UA" w:eastAsia="ru-RU"/>
        </w:rPr>
        <w:t xml:space="preserve">торного </w:t>
      </w:r>
      <w:proofErr w:type="spellStart"/>
      <w:r w:rsidR="009B754C" w:rsidRPr="00C96347">
        <w:rPr>
          <w:rFonts w:eastAsia="Times New Roman"/>
          <w:sz w:val="26"/>
          <w:szCs w:val="26"/>
          <w:lang w:val="uk-UA" w:eastAsia="ru-RU"/>
        </w:rPr>
        <w:t>акт</w:t>
      </w:r>
      <w:r w:rsidR="00807627" w:rsidRPr="00C96347">
        <w:rPr>
          <w:rFonts w:eastAsia="Times New Roman"/>
          <w:sz w:val="26"/>
          <w:szCs w:val="26"/>
          <w:lang w:val="uk-UA" w:eastAsia="ru-RU"/>
        </w:rPr>
        <w:t>а</w:t>
      </w:r>
      <w:proofErr w:type="spellEnd"/>
      <w:r w:rsidR="009B754C" w:rsidRPr="00C9634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:rsidR="00226602" w:rsidRPr="00C9634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16"/>
    <w:p w:rsidR="00C240C3" w:rsidRPr="00C9634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C96347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7" w:name="_Hlk496274919"/>
      <w:r w:rsidRPr="00C96347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17"/>
      <w:r w:rsidR="0029598B" w:rsidRPr="00C96347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C9634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0C6772" w:rsidRPr="00C9634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C9634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C9634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кта</w:t>
      </w:r>
      <w:proofErr w:type="spellEnd"/>
    </w:p>
    <w:p w:rsidR="00900594" w:rsidRPr="00C9634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:rsidR="000C6772" w:rsidRPr="00C9634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C9634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є:</w:t>
      </w:r>
    </w:p>
    <w:p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>  –</w:t>
      </w:r>
      <w:r w:rsidR="00946EC0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C96347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>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C9634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>526</w:t>
      </w:r>
      <w:r w:rsidRPr="00C96347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з виконанням вимог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C9634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4.</w:t>
      </w:r>
      <w:r w:rsidR="00D22AAA" w:rsidRPr="00C96347">
        <w:rPr>
          <w:rFonts w:eastAsia="Times New Roman"/>
          <w:sz w:val="26"/>
          <w:szCs w:val="26"/>
          <w:lang w:val="uk-UA" w:eastAsia="ru-RU"/>
        </w:rPr>
        <w:t> 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>коштів</w:t>
      </w:r>
      <w:r w:rsidRPr="00C96347">
        <w:rPr>
          <w:rFonts w:eastAsia="Times New Roman"/>
          <w:sz w:val="26"/>
          <w:szCs w:val="26"/>
          <w:lang w:val="uk-UA" w:eastAsia="ru-RU"/>
        </w:rPr>
        <w:t>,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тимуться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у зв’язку з виконанням вимог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C9634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  <w:r w:rsidR="009E48F1" w:rsidRPr="00C96347">
        <w:rPr>
          <w:sz w:val="26"/>
          <w:szCs w:val="26"/>
          <w:lang w:val="uk-UA"/>
        </w:rPr>
        <w:t xml:space="preserve"> 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>19,</w:t>
      </w:r>
      <w:r w:rsidR="00A619F9">
        <w:rPr>
          <w:rFonts w:eastAsia="Times New Roman"/>
          <w:sz w:val="26"/>
          <w:szCs w:val="26"/>
          <w:lang w:val="uk-UA" w:eastAsia="ru-RU"/>
        </w:rPr>
        <w:t>63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>грн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C96347">
        <w:rPr>
          <w:rFonts w:eastAsia="Times New Roman"/>
          <w:sz w:val="26"/>
          <w:szCs w:val="26"/>
          <w:lang w:val="uk-UA" w:eastAsia="ru-RU"/>
        </w:rPr>
        <w:t xml:space="preserve">               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>19,</w:t>
      </w:r>
      <w:r w:rsidR="00A619F9">
        <w:rPr>
          <w:rFonts w:eastAsia="Times New Roman"/>
          <w:sz w:val="26"/>
          <w:szCs w:val="26"/>
          <w:lang w:val="uk-UA" w:eastAsia="ru-RU"/>
        </w:rPr>
        <w:t>63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:rsidR="009E48F1" w:rsidRPr="00C9634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з виконанням вимог </w:t>
      </w:r>
      <w:proofErr w:type="spellStart"/>
      <w:r w:rsidR="00A84EEF"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C9634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C9634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C9634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</w:t>
      </w:r>
      <w:proofErr w:type="spellStart"/>
      <w:r w:rsidR="000C6772" w:rsidRPr="00C96347">
        <w:rPr>
          <w:rFonts w:eastAsia="Times New Roman"/>
          <w:sz w:val="26"/>
          <w:szCs w:val="26"/>
          <w:lang w:val="uk-UA" w:eastAsia="ru-RU"/>
        </w:rPr>
        <w:t>Проє</w:t>
      </w:r>
      <w:r w:rsidRPr="00C96347">
        <w:rPr>
          <w:rFonts w:eastAsia="Times New Roman"/>
          <w:sz w:val="26"/>
          <w:szCs w:val="26"/>
          <w:lang w:val="uk-UA" w:eastAsia="ru-RU"/>
        </w:rPr>
        <w:t>кт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та відповідний аналіз регуляторного вплив</w:t>
      </w:r>
      <w:r w:rsidR="00266F6D" w:rsidRPr="00C96347">
        <w:rPr>
          <w:rFonts w:eastAsia="Times New Roman"/>
          <w:sz w:val="26"/>
          <w:szCs w:val="26"/>
          <w:lang w:val="uk-UA" w:eastAsia="ru-RU"/>
        </w:rPr>
        <w:t xml:space="preserve">у оприлюднено на офіційному </w:t>
      </w:r>
      <w:proofErr w:type="spellStart"/>
      <w:r w:rsidR="00266F6D" w:rsidRPr="00C96347">
        <w:rPr>
          <w:rFonts w:eastAsia="Times New Roman"/>
          <w:sz w:val="26"/>
          <w:szCs w:val="26"/>
          <w:lang w:val="uk-UA" w:eastAsia="ru-RU"/>
        </w:rPr>
        <w:lastRenderedPageBreak/>
        <w:t>веб</w:t>
      </w:r>
      <w:r w:rsidRPr="00C9634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bookmarkStart w:id="18" w:name="_Hlk23429338"/>
      <w:r w:rsidR="0049726C" w:rsidRPr="00C9634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C96347">
        <w:rPr>
          <w:rFonts w:eastAsia="Times New Roman"/>
          <w:sz w:val="26"/>
          <w:szCs w:val="26"/>
          <w:lang w:val="uk-UA" w:eastAsia="ru-RU"/>
        </w:rPr>
        <w:t>України</w:t>
      </w:r>
      <w:bookmarkEnd w:id="18"/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C9634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він буде опублікований </w:t>
      </w:r>
      <w:r w:rsidR="00F65B83">
        <w:rPr>
          <w:rFonts w:eastAsia="Times New Roman"/>
          <w:sz w:val="26"/>
          <w:szCs w:val="26"/>
          <w:lang w:val="uk-UA" w:eastAsia="ru-RU"/>
        </w:rPr>
        <w:t>в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 xml:space="preserve"> офіційних виданнях – </w:t>
      </w:r>
      <w:r w:rsidR="0004631C">
        <w:rPr>
          <w:rFonts w:eastAsia="Times New Roman"/>
          <w:sz w:val="26"/>
          <w:szCs w:val="26"/>
          <w:lang w:val="uk-UA" w:eastAsia="ru-RU"/>
        </w:rPr>
        <w:t xml:space="preserve">Голосі України, 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>Офіційному віснику України та газеті «Урядовий кур’єр»</w:t>
      </w:r>
      <w:r w:rsidR="0018661C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4855F9" w:rsidRPr="00C9634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Pr="00C96347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C96347">
        <w:rPr>
          <w:rFonts w:eastAsia="Times New Roman"/>
          <w:sz w:val="26"/>
          <w:szCs w:val="26"/>
          <w:u w:val="single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, виходячи з його цілей, слугуватимуть: </w:t>
      </w:r>
    </w:p>
    <w:p w:rsidR="001F3561" w:rsidRPr="001F3561" w:rsidRDefault="00941556" w:rsidP="001F3561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941556">
        <w:rPr>
          <w:rFonts w:eastAsia="Times New Roman"/>
          <w:bCs/>
          <w:sz w:val="26"/>
          <w:szCs w:val="26"/>
          <w:lang w:val="uk-UA" w:eastAsia="ru-RU"/>
        </w:rPr>
        <w:t>Кількість виданих ліцензій з буріння свердловин для добування підземних вод та їх ліквідації та/або тампонування</w:t>
      </w:r>
      <w:r w:rsidR="00D73C34" w:rsidRPr="00941556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D73C34" w:rsidRPr="00941556" w:rsidRDefault="00E82489" w:rsidP="00941556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941556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941556" w:rsidRPr="00941556">
        <w:rPr>
          <w:rFonts w:eastAsia="Times New Roman"/>
          <w:bCs/>
          <w:sz w:val="26"/>
          <w:szCs w:val="26"/>
          <w:lang w:val="uk-UA" w:eastAsia="ru-RU"/>
        </w:rPr>
        <w:t>складених протоколів про адміністративні правопорушення за незаконну діяльність з буріння артезіанських свердловин та їх ліквідацію та/або тампонування та незабезпечення ліквідаційного санітарно-технічного тампонажу свердловин для добування підземних вод після припинення їх експлуатації</w:t>
      </w:r>
      <w:r w:rsidR="00D73C34" w:rsidRPr="00941556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5060FF" w:rsidRDefault="005060FF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:rsidR="00C240C3" w:rsidRPr="00C9634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здійснюватиметься</w:t>
      </w:r>
      <w:r w:rsidR="00F2278F" w:rsidRPr="00C96347">
        <w:rPr>
          <w:sz w:val="26"/>
          <w:szCs w:val="26"/>
          <w:lang w:val="uk-UA"/>
        </w:rPr>
        <w:t xml:space="preserve"> шляхом проведення базового, </w:t>
      </w:r>
      <w:r w:rsidRPr="00C96347">
        <w:rPr>
          <w:sz w:val="26"/>
          <w:szCs w:val="26"/>
          <w:lang w:val="uk-UA"/>
        </w:rPr>
        <w:t xml:space="preserve">повторного та періодичного </w:t>
      </w:r>
      <w:proofErr w:type="spellStart"/>
      <w:r w:rsidRPr="00C96347">
        <w:rPr>
          <w:sz w:val="26"/>
          <w:szCs w:val="26"/>
          <w:lang w:val="uk-UA"/>
        </w:rPr>
        <w:t>відстежень</w:t>
      </w:r>
      <w:proofErr w:type="spellEnd"/>
      <w:r w:rsidRPr="00C96347">
        <w:rPr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. </w:t>
      </w:r>
    </w:p>
    <w:p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здійснюватиметься після набрання ним чинності, оскільки для цього використовуватимуться </w:t>
      </w:r>
      <w:r>
        <w:rPr>
          <w:sz w:val="26"/>
          <w:szCs w:val="26"/>
          <w:lang w:val="uk-UA"/>
        </w:rPr>
        <w:t xml:space="preserve">виключно статистичні показники, </w:t>
      </w:r>
      <w:r w:rsidRPr="00CC060C">
        <w:rPr>
          <w:sz w:val="26"/>
          <w:szCs w:val="26"/>
          <w:lang w:val="uk-UA"/>
        </w:rPr>
        <w:t xml:space="preserve">але не пізніше дня, з якого починається проведення повторного відстеження результативності цього </w:t>
      </w:r>
      <w:proofErr w:type="spellStart"/>
      <w:r w:rsidRPr="00CC060C">
        <w:rPr>
          <w:sz w:val="26"/>
          <w:szCs w:val="26"/>
          <w:lang w:val="uk-UA"/>
        </w:rPr>
        <w:t>акта</w:t>
      </w:r>
      <w:proofErr w:type="spellEnd"/>
      <w:r w:rsidRPr="00CC060C">
        <w:rPr>
          <w:sz w:val="26"/>
          <w:szCs w:val="26"/>
          <w:lang w:val="uk-UA"/>
        </w:rPr>
        <w:t>.</w:t>
      </w:r>
    </w:p>
    <w:p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здійснюватиметься через рік з дня набрання чинності цим регуляторним актом</w:t>
      </w:r>
      <w:r>
        <w:rPr>
          <w:sz w:val="26"/>
          <w:szCs w:val="26"/>
          <w:lang w:val="uk-UA"/>
        </w:rPr>
        <w:t xml:space="preserve">, </w:t>
      </w:r>
      <w:r w:rsidRPr="00253562">
        <w:rPr>
          <w:sz w:val="26"/>
          <w:szCs w:val="26"/>
          <w:lang w:val="uk-UA"/>
        </w:rPr>
        <w:t>але не пізніше двох років з дня набрання чинності цим актом</w:t>
      </w:r>
      <w:r w:rsidRPr="00C96347">
        <w:rPr>
          <w:sz w:val="26"/>
          <w:szCs w:val="26"/>
          <w:lang w:val="uk-UA"/>
        </w:rPr>
        <w:t>. За результатами даного відстеження відбудеться порівняння показників базового та повторного відстеження.</w:t>
      </w:r>
    </w:p>
    <w:p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>.</w:t>
      </w:r>
    </w:p>
    <w:p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буде </w:t>
      </w:r>
      <w:r w:rsidR="00A7673E" w:rsidRPr="00C96347">
        <w:rPr>
          <w:sz w:val="26"/>
          <w:szCs w:val="26"/>
          <w:lang w:val="uk-UA"/>
        </w:rPr>
        <w:t>здійснювати</w:t>
      </w:r>
      <w:r w:rsidR="00A7673E">
        <w:rPr>
          <w:sz w:val="26"/>
          <w:szCs w:val="26"/>
          <w:lang w:val="uk-UA"/>
        </w:rPr>
        <w:t>ся</w:t>
      </w:r>
      <w:r w:rsidRPr="00C96347">
        <w:rPr>
          <w:sz w:val="26"/>
          <w:szCs w:val="26"/>
          <w:lang w:val="uk-UA"/>
        </w:rPr>
        <w:t xml:space="preserve"> Міністерство</w:t>
      </w:r>
      <w:r w:rsidR="00A7673E">
        <w:rPr>
          <w:sz w:val="26"/>
          <w:szCs w:val="26"/>
          <w:lang w:val="uk-UA"/>
        </w:rPr>
        <w:t>м</w:t>
      </w:r>
      <w:r w:rsidRPr="00C96347">
        <w:rPr>
          <w:sz w:val="26"/>
          <w:szCs w:val="26"/>
          <w:lang w:val="uk-UA"/>
        </w:rPr>
        <w:t xml:space="preserve"> захисту довкілля та природних ресурсів України спільно з Державною службою геології та надр У</w:t>
      </w:r>
      <w:r w:rsidR="00663F61">
        <w:rPr>
          <w:sz w:val="26"/>
          <w:szCs w:val="26"/>
          <w:lang w:val="uk-UA"/>
        </w:rPr>
        <w:t>к</w:t>
      </w:r>
      <w:bookmarkStart w:id="19" w:name="_GoBack"/>
      <w:bookmarkEnd w:id="19"/>
      <w:r w:rsidRPr="00C96347">
        <w:rPr>
          <w:sz w:val="26"/>
          <w:szCs w:val="26"/>
          <w:lang w:val="uk-UA"/>
        </w:rPr>
        <w:t>раїни шляхом розгляду пропозицій та зауважень, які надійдуть до нього.</w:t>
      </w:r>
    </w:p>
    <w:p w:rsidR="00441164" w:rsidRPr="00C96347" w:rsidRDefault="00441164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E12DE1" w:rsidRPr="00C96347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BF40EC" w:rsidRPr="00C9634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Голова Державної служби </w:t>
      </w:r>
    </w:p>
    <w:p w:rsidR="007E5048" w:rsidRPr="00C9634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геології та надр України                                                                   </w:t>
      </w:r>
      <w:r w:rsidR="007C30B9" w:rsidRPr="00C96347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="00E078A1" w:rsidRPr="00C96347">
        <w:rPr>
          <w:rFonts w:eastAsia="Times New Roman"/>
          <w:b/>
          <w:sz w:val="26"/>
          <w:szCs w:val="26"/>
          <w:lang w:val="uk-UA" w:eastAsia="ru-RU"/>
        </w:rPr>
        <w:t xml:space="preserve">    </w:t>
      </w:r>
      <w:r w:rsidRPr="00C96347">
        <w:rPr>
          <w:rFonts w:eastAsia="Times New Roman"/>
          <w:b/>
          <w:sz w:val="26"/>
          <w:szCs w:val="26"/>
          <w:lang w:val="uk-UA" w:eastAsia="ru-RU"/>
        </w:rPr>
        <w:t>Р</w:t>
      </w:r>
      <w:r w:rsidR="007C30B9" w:rsidRPr="00C96347">
        <w:rPr>
          <w:rFonts w:eastAsia="Times New Roman"/>
          <w:b/>
          <w:sz w:val="26"/>
          <w:szCs w:val="26"/>
          <w:lang w:val="uk-UA" w:eastAsia="ru-RU"/>
        </w:rPr>
        <w:t>оман</w:t>
      </w: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 ОПІМАХ</w:t>
      </w:r>
    </w:p>
    <w:sectPr w:rsidR="007E5048" w:rsidRPr="00C96347" w:rsidSect="00E936E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21" w:rsidRDefault="00304521">
      <w:r>
        <w:separator/>
      </w:r>
    </w:p>
  </w:endnote>
  <w:endnote w:type="continuationSeparator" w:id="0">
    <w:p w:rsidR="00304521" w:rsidRDefault="0030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21" w:rsidRDefault="00304521">
      <w:r>
        <w:separator/>
      </w:r>
    </w:p>
  </w:footnote>
  <w:footnote w:type="continuationSeparator" w:id="0">
    <w:p w:rsidR="00304521" w:rsidRDefault="0030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A" w:rsidRDefault="0058762A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58762A" w:rsidRDefault="005876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A" w:rsidRPr="004210EE" w:rsidRDefault="0058762A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663F61">
      <w:rPr>
        <w:rStyle w:val="ab"/>
        <w:noProof/>
      </w:rPr>
      <w:t>14</w:t>
    </w:r>
    <w:r w:rsidRPr="004210EE">
      <w:rPr>
        <w:rStyle w:val="ab"/>
      </w:rPr>
      <w:fldChar w:fldCharType="end"/>
    </w:r>
  </w:p>
  <w:p w:rsidR="0058762A" w:rsidRPr="00A739E9" w:rsidRDefault="0058762A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1089B"/>
    <w:rsid w:val="00011358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4631C"/>
    <w:rsid w:val="00052585"/>
    <w:rsid w:val="00053085"/>
    <w:rsid w:val="000601AF"/>
    <w:rsid w:val="00066999"/>
    <w:rsid w:val="0006782C"/>
    <w:rsid w:val="00071A58"/>
    <w:rsid w:val="0007203D"/>
    <w:rsid w:val="000727F6"/>
    <w:rsid w:val="000739FB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0D7E"/>
    <w:rsid w:val="00091D74"/>
    <w:rsid w:val="000925A5"/>
    <w:rsid w:val="0009305A"/>
    <w:rsid w:val="00093215"/>
    <w:rsid w:val="00094E6F"/>
    <w:rsid w:val="00095A06"/>
    <w:rsid w:val="00096AD4"/>
    <w:rsid w:val="000A4BE4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2EE9"/>
    <w:rsid w:val="000F4315"/>
    <w:rsid w:val="000F6A44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2A1"/>
    <w:rsid w:val="00116532"/>
    <w:rsid w:val="00116B9F"/>
    <w:rsid w:val="00117164"/>
    <w:rsid w:val="00121E7F"/>
    <w:rsid w:val="0012534A"/>
    <w:rsid w:val="00125964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1ED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3E4D"/>
    <w:rsid w:val="001E4E01"/>
    <w:rsid w:val="001E5D2E"/>
    <w:rsid w:val="001E6BAC"/>
    <w:rsid w:val="001F3561"/>
    <w:rsid w:val="001F4406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5F8A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521"/>
    <w:rsid w:val="00304A2C"/>
    <w:rsid w:val="00305B73"/>
    <w:rsid w:val="00306399"/>
    <w:rsid w:val="003067C1"/>
    <w:rsid w:val="00310743"/>
    <w:rsid w:val="0031443E"/>
    <w:rsid w:val="00321073"/>
    <w:rsid w:val="00325286"/>
    <w:rsid w:val="0032711E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D97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2C9E"/>
    <w:rsid w:val="00404D7D"/>
    <w:rsid w:val="00404DD0"/>
    <w:rsid w:val="004064F5"/>
    <w:rsid w:val="00410C85"/>
    <w:rsid w:val="00410CFD"/>
    <w:rsid w:val="00412AE6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08CC"/>
    <w:rsid w:val="00452B5D"/>
    <w:rsid w:val="004533D7"/>
    <w:rsid w:val="00453EAE"/>
    <w:rsid w:val="00461E02"/>
    <w:rsid w:val="00463057"/>
    <w:rsid w:val="00464516"/>
    <w:rsid w:val="00465474"/>
    <w:rsid w:val="00465853"/>
    <w:rsid w:val="00465B9F"/>
    <w:rsid w:val="0046613A"/>
    <w:rsid w:val="00466D05"/>
    <w:rsid w:val="00474249"/>
    <w:rsid w:val="004778A2"/>
    <w:rsid w:val="00477A7B"/>
    <w:rsid w:val="00483A84"/>
    <w:rsid w:val="00484930"/>
    <w:rsid w:val="004855F9"/>
    <w:rsid w:val="00490A10"/>
    <w:rsid w:val="0049181B"/>
    <w:rsid w:val="004924E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02A1"/>
    <w:rsid w:val="00503FB6"/>
    <w:rsid w:val="005060FF"/>
    <w:rsid w:val="00506E3E"/>
    <w:rsid w:val="00510C52"/>
    <w:rsid w:val="00511A92"/>
    <w:rsid w:val="00511EDD"/>
    <w:rsid w:val="00512514"/>
    <w:rsid w:val="00513321"/>
    <w:rsid w:val="00513379"/>
    <w:rsid w:val="00514E97"/>
    <w:rsid w:val="00516C4D"/>
    <w:rsid w:val="00516D74"/>
    <w:rsid w:val="0052405D"/>
    <w:rsid w:val="00525449"/>
    <w:rsid w:val="0052700F"/>
    <w:rsid w:val="00530CBB"/>
    <w:rsid w:val="00530DFC"/>
    <w:rsid w:val="005323AB"/>
    <w:rsid w:val="005323F4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2E82"/>
    <w:rsid w:val="00583A38"/>
    <w:rsid w:val="00585F65"/>
    <w:rsid w:val="005871F4"/>
    <w:rsid w:val="0058762A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5A94"/>
    <w:rsid w:val="005A7289"/>
    <w:rsid w:val="005B1A75"/>
    <w:rsid w:val="005B1BD7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21F0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25DE5"/>
    <w:rsid w:val="00630E96"/>
    <w:rsid w:val="00631670"/>
    <w:rsid w:val="00632B5F"/>
    <w:rsid w:val="006332B7"/>
    <w:rsid w:val="006376AF"/>
    <w:rsid w:val="00640A1C"/>
    <w:rsid w:val="00641A0E"/>
    <w:rsid w:val="00643A0D"/>
    <w:rsid w:val="00643FBD"/>
    <w:rsid w:val="0064464A"/>
    <w:rsid w:val="006457C0"/>
    <w:rsid w:val="0064733D"/>
    <w:rsid w:val="006500E8"/>
    <w:rsid w:val="00654E27"/>
    <w:rsid w:val="00656EF1"/>
    <w:rsid w:val="00657280"/>
    <w:rsid w:val="006620A8"/>
    <w:rsid w:val="00662142"/>
    <w:rsid w:val="006634F2"/>
    <w:rsid w:val="00663ECA"/>
    <w:rsid w:val="00663F61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76929"/>
    <w:rsid w:val="00683CBF"/>
    <w:rsid w:val="006863F5"/>
    <w:rsid w:val="00686D42"/>
    <w:rsid w:val="00687E4F"/>
    <w:rsid w:val="006903E8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3C2B"/>
    <w:rsid w:val="006A4007"/>
    <w:rsid w:val="006A4C21"/>
    <w:rsid w:val="006A6165"/>
    <w:rsid w:val="006A63A1"/>
    <w:rsid w:val="006A6A55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3492"/>
    <w:rsid w:val="006D4857"/>
    <w:rsid w:val="006D58F2"/>
    <w:rsid w:val="006E3717"/>
    <w:rsid w:val="006E54DB"/>
    <w:rsid w:val="006E5677"/>
    <w:rsid w:val="006E68E3"/>
    <w:rsid w:val="006E74B7"/>
    <w:rsid w:val="006F0B8A"/>
    <w:rsid w:val="006F0E03"/>
    <w:rsid w:val="006F23E0"/>
    <w:rsid w:val="006F3844"/>
    <w:rsid w:val="006F4D54"/>
    <w:rsid w:val="006F59BF"/>
    <w:rsid w:val="006F6349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F9A"/>
    <w:rsid w:val="007A4645"/>
    <w:rsid w:val="007A6B8E"/>
    <w:rsid w:val="007B1811"/>
    <w:rsid w:val="007B26FB"/>
    <w:rsid w:val="007B2B03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1A13"/>
    <w:rsid w:val="00823181"/>
    <w:rsid w:val="00825195"/>
    <w:rsid w:val="0082722B"/>
    <w:rsid w:val="008273AC"/>
    <w:rsid w:val="008308E8"/>
    <w:rsid w:val="0083090E"/>
    <w:rsid w:val="00837C97"/>
    <w:rsid w:val="008430BC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1669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3C37"/>
    <w:rsid w:val="008D4948"/>
    <w:rsid w:val="008D5412"/>
    <w:rsid w:val="008D5473"/>
    <w:rsid w:val="008E1445"/>
    <w:rsid w:val="008E1484"/>
    <w:rsid w:val="008E21B6"/>
    <w:rsid w:val="008E2888"/>
    <w:rsid w:val="008E50CF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3522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1556"/>
    <w:rsid w:val="00943BDF"/>
    <w:rsid w:val="009442DF"/>
    <w:rsid w:val="00946EC0"/>
    <w:rsid w:val="009471D9"/>
    <w:rsid w:val="009474D8"/>
    <w:rsid w:val="00952DDF"/>
    <w:rsid w:val="00953799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0DA8"/>
    <w:rsid w:val="009827C4"/>
    <w:rsid w:val="0098314A"/>
    <w:rsid w:val="0098376A"/>
    <w:rsid w:val="009841E2"/>
    <w:rsid w:val="009876BB"/>
    <w:rsid w:val="00987AC8"/>
    <w:rsid w:val="009956BF"/>
    <w:rsid w:val="00996AC9"/>
    <w:rsid w:val="00996D15"/>
    <w:rsid w:val="009A148C"/>
    <w:rsid w:val="009A276C"/>
    <w:rsid w:val="009A486F"/>
    <w:rsid w:val="009A70C7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6A70"/>
    <w:rsid w:val="009F46CD"/>
    <w:rsid w:val="009F49E8"/>
    <w:rsid w:val="009F53AE"/>
    <w:rsid w:val="00A01622"/>
    <w:rsid w:val="00A02623"/>
    <w:rsid w:val="00A0269A"/>
    <w:rsid w:val="00A05264"/>
    <w:rsid w:val="00A079D9"/>
    <w:rsid w:val="00A136D9"/>
    <w:rsid w:val="00A16286"/>
    <w:rsid w:val="00A222E4"/>
    <w:rsid w:val="00A25103"/>
    <w:rsid w:val="00A2632A"/>
    <w:rsid w:val="00A31792"/>
    <w:rsid w:val="00A36A24"/>
    <w:rsid w:val="00A37D98"/>
    <w:rsid w:val="00A40E76"/>
    <w:rsid w:val="00A42A77"/>
    <w:rsid w:val="00A45356"/>
    <w:rsid w:val="00A5363E"/>
    <w:rsid w:val="00A564A2"/>
    <w:rsid w:val="00A5766F"/>
    <w:rsid w:val="00A5784E"/>
    <w:rsid w:val="00A619F9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673E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9F0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AF72F9"/>
    <w:rsid w:val="00B00188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6672"/>
    <w:rsid w:val="00B27BAD"/>
    <w:rsid w:val="00B27CA4"/>
    <w:rsid w:val="00B31E0A"/>
    <w:rsid w:val="00B34E13"/>
    <w:rsid w:val="00B35F62"/>
    <w:rsid w:val="00B37346"/>
    <w:rsid w:val="00B3756D"/>
    <w:rsid w:val="00B40C12"/>
    <w:rsid w:val="00B40E6F"/>
    <w:rsid w:val="00B4147A"/>
    <w:rsid w:val="00B43339"/>
    <w:rsid w:val="00B44E37"/>
    <w:rsid w:val="00B45FDC"/>
    <w:rsid w:val="00B460DA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17DA"/>
    <w:rsid w:val="00B72185"/>
    <w:rsid w:val="00B73752"/>
    <w:rsid w:val="00B77BA6"/>
    <w:rsid w:val="00B80000"/>
    <w:rsid w:val="00B80271"/>
    <w:rsid w:val="00B82183"/>
    <w:rsid w:val="00B821CE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A30EF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33FC"/>
    <w:rsid w:val="00BD3FCC"/>
    <w:rsid w:val="00BD418B"/>
    <w:rsid w:val="00BD52A9"/>
    <w:rsid w:val="00BE0620"/>
    <w:rsid w:val="00BE1333"/>
    <w:rsid w:val="00BE1538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31A9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347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7226B"/>
    <w:rsid w:val="00D73199"/>
    <w:rsid w:val="00D73BC4"/>
    <w:rsid w:val="00D73C3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3F06"/>
    <w:rsid w:val="00D96BD3"/>
    <w:rsid w:val="00D9710C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6F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805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469C2"/>
    <w:rsid w:val="00E507CC"/>
    <w:rsid w:val="00E50B15"/>
    <w:rsid w:val="00E50D3D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36E4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C216F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53D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74A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167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37ADC"/>
    <w:rsid w:val="00F41E65"/>
    <w:rsid w:val="00F43793"/>
    <w:rsid w:val="00F43F36"/>
    <w:rsid w:val="00F467DF"/>
    <w:rsid w:val="00F50D70"/>
    <w:rsid w:val="00F52283"/>
    <w:rsid w:val="00F554E7"/>
    <w:rsid w:val="00F645F5"/>
    <w:rsid w:val="00F65B83"/>
    <w:rsid w:val="00F710A5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22A9"/>
    <w:rsid w:val="00FF346E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39A7"/>
  <w15:chartTrackingRefBased/>
  <w15:docId w15:val="{005B1AF2-8733-4254-8688-4500515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val="x-none"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val="x-none"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A06E-BD32-45B9-8071-AC2EBFE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2908</Words>
  <Characters>21055</Characters>
  <Application>Microsoft Office Word</Application>
  <DocSecurity>0</DocSecurity>
  <Lines>915</Lines>
  <Paragraphs>435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A Korol</cp:lastModifiedBy>
  <cp:revision>8</cp:revision>
  <cp:lastPrinted>2021-10-01T10:50:00Z</cp:lastPrinted>
  <dcterms:created xsi:type="dcterms:W3CDTF">2022-02-18T11:39:00Z</dcterms:created>
  <dcterms:modified xsi:type="dcterms:W3CDTF">2022-02-18T12:02:00Z</dcterms:modified>
</cp:coreProperties>
</file>