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:rsidR="00037109" w:rsidRDefault="00110A0A" w:rsidP="00860B3E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860B3E" w:rsidRPr="00860B3E">
        <w:rPr>
          <w:rFonts w:eastAsia="Andale Sans UI"/>
          <w:kern w:val="1"/>
          <w:sz w:val="28"/>
          <w:szCs w:val="28"/>
          <w:lang w:val="uk-UA"/>
        </w:rPr>
        <w:t>проєкту</w:t>
      </w:r>
      <w:proofErr w:type="spellEnd"/>
      <w:r w:rsidR="00860B3E" w:rsidRPr="00860B3E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694B8A" w:rsidRPr="00694B8A">
        <w:rPr>
          <w:rFonts w:eastAsia="Andale Sans UI"/>
          <w:kern w:val="1"/>
          <w:sz w:val="28"/>
          <w:szCs w:val="28"/>
          <w:lang w:val="uk-UA"/>
        </w:rPr>
        <w:t>Закону України «Про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вод»</w:t>
      </w:r>
    </w:p>
    <w:p w:rsidR="00860B3E" w:rsidRDefault="00860B3E" w:rsidP="00860B3E">
      <w:pPr>
        <w:pStyle w:val="23"/>
        <w:shd w:val="clear" w:color="auto" w:fill="auto"/>
        <w:spacing w:after="0" w:line="240" w:lineRule="auto"/>
        <w:rPr>
          <w:rFonts w:eastAsia="Andale Sans UI"/>
          <w:b w:val="0"/>
          <w:bCs w:val="0"/>
          <w:kern w:val="1"/>
          <w:sz w:val="28"/>
          <w:szCs w:val="28"/>
          <w:lang w:val="uk-UA"/>
        </w:rPr>
      </w:pPr>
    </w:p>
    <w:p w:rsidR="00FC7448" w:rsidRPr="00FC7448" w:rsidRDefault="00FC7448" w:rsidP="00FC7448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FC7448">
        <w:rPr>
          <w:sz w:val="28"/>
          <w:szCs w:val="28"/>
          <w:lang w:val="uk-UA" w:eastAsia="en-US"/>
        </w:rPr>
        <w:t>Проєкт</w:t>
      </w:r>
      <w:proofErr w:type="spellEnd"/>
      <w:r w:rsidRPr="00FC7448">
        <w:rPr>
          <w:sz w:val="28"/>
          <w:szCs w:val="28"/>
          <w:lang w:val="uk-UA" w:eastAsia="en-US"/>
        </w:rPr>
        <w:t xml:space="preserve"> Закону України «</w:t>
      </w:r>
      <w:r w:rsidRPr="00FC7448">
        <w:rPr>
          <w:color w:val="000000" w:themeColor="text1"/>
          <w:sz w:val="28"/>
          <w:szCs w:val="28"/>
          <w:lang w:val="uk-UA" w:eastAsia="en-US"/>
        </w:rPr>
        <w:t>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</w:t>
      </w:r>
      <w:r w:rsidRPr="00FC7448">
        <w:rPr>
          <w:sz w:val="28"/>
          <w:szCs w:val="28"/>
          <w:lang w:val="uk-UA" w:eastAsia="en-US"/>
        </w:rPr>
        <w:t xml:space="preserve">» розроблено на виконання абзацу шостого підпункту «а» підпункту 2 пункту 1 рішення Ради національної безпеки і оборони України від 23 березня 2021 р.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 2021 р. № 111, та абзацу п'ятого підпункту 3 пункту 1 рішення Ради національної безпеки і оборони України від 30 липня 2021 р. «Про стан водних ресурсів України», введеного в дію Указом Президента України від 13 серпня 2021 р. № 357, з метою встановлення адміністративної відповідальності за буріння суб’єктами господарювання свердловин для добування підземних вод без ліцензії на провадження відповідного виду господарської діяльності, </w:t>
      </w:r>
      <w:r w:rsidRPr="00FC7448">
        <w:rPr>
          <w:sz w:val="28"/>
          <w:szCs w:val="28"/>
          <w:shd w:val="clear" w:color="auto" w:fill="FFFFFF"/>
          <w:lang w:val="uk-UA" w:eastAsia="en-US"/>
        </w:rPr>
        <w:t>що підлягає ліцензуванню відповідно до закону,</w:t>
      </w:r>
      <w:r w:rsidRPr="00FC7448">
        <w:rPr>
          <w:sz w:val="28"/>
          <w:szCs w:val="28"/>
          <w:lang w:val="uk-UA" w:eastAsia="en-US"/>
        </w:rPr>
        <w:t xml:space="preserve"> або у період зупинення дії такої ліцензії повністю або частково, а також за незабезпечення ліквідаційного санітарно-технічного тампонажу таких свердловин після припинення їх експлуатації.</w:t>
      </w:r>
    </w:p>
    <w:p w:rsidR="00694B8A" w:rsidRPr="00694B8A" w:rsidRDefault="00694B8A" w:rsidP="00694B8A">
      <w:pPr>
        <w:widowControl w:val="0"/>
        <w:shd w:val="clear" w:color="auto" w:fill="FFFFFF"/>
        <w:ind w:firstLine="709"/>
        <w:contextualSpacing/>
        <w:jc w:val="both"/>
        <w:rPr>
          <w:spacing w:val="5"/>
          <w:sz w:val="28"/>
          <w:szCs w:val="28"/>
          <w:shd w:val="clear" w:color="auto" w:fill="FFFFFF"/>
          <w:lang w:val="uk-UA"/>
        </w:rPr>
      </w:pPr>
      <w:r w:rsidRPr="00694B8A">
        <w:rPr>
          <w:spacing w:val="5"/>
          <w:sz w:val="28"/>
          <w:szCs w:val="28"/>
          <w:shd w:val="clear" w:color="auto" w:fill="FFFFFF"/>
          <w:lang w:val="uk-UA"/>
        </w:rPr>
        <w:t xml:space="preserve">Реалізація положень </w:t>
      </w:r>
      <w:proofErr w:type="spellStart"/>
      <w:r w:rsidRPr="00694B8A">
        <w:rPr>
          <w:spacing w:val="5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694B8A">
        <w:rPr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4B8A">
        <w:rPr>
          <w:spacing w:val="5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694B8A">
        <w:rPr>
          <w:spacing w:val="5"/>
          <w:sz w:val="28"/>
          <w:szCs w:val="28"/>
          <w:shd w:val="clear" w:color="auto" w:fill="FFFFFF"/>
          <w:lang w:val="uk-UA"/>
        </w:rPr>
        <w:t xml:space="preserve"> передбачається шляхом запровадження нового виду ліцензійної діяльності, а саме – буріння свердловин для добування підземних вод та їх ліквідація та/або тампонування, подання відповідних даних до Державного реєстру артезіанських свердловин, облаштування свердловин засобами обліку та проведення обов’язкової сертифікації та/або повірки таких засобів обліку, відповідного обліку даних про пробурені та ліквідовані та/або </w:t>
      </w:r>
      <w:proofErr w:type="spellStart"/>
      <w:r w:rsidRPr="00694B8A">
        <w:rPr>
          <w:spacing w:val="5"/>
          <w:sz w:val="28"/>
          <w:szCs w:val="28"/>
          <w:shd w:val="clear" w:color="auto" w:fill="FFFFFF"/>
          <w:lang w:val="uk-UA"/>
        </w:rPr>
        <w:t>затампоновані</w:t>
      </w:r>
      <w:proofErr w:type="spellEnd"/>
      <w:r w:rsidRPr="00694B8A">
        <w:rPr>
          <w:spacing w:val="5"/>
          <w:sz w:val="28"/>
          <w:szCs w:val="28"/>
          <w:shd w:val="clear" w:color="auto" w:fill="FFFFFF"/>
          <w:lang w:val="uk-UA"/>
        </w:rPr>
        <w:t xml:space="preserve"> свердловини.</w:t>
      </w:r>
    </w:p>
    <w:p w:rsidR="00860B3E" w:rsidRDefault="00860B3E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3D400D" w:rsidRDefault="003D40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geo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:rsidR="005203D3" w:rsidRPr="00FC7448" w:rsidRDefault="0066791D" w:rsidP="00FC7448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sectPr w:rsidR="005203D3" w:rsidRPr="00FC7448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94B8A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C7448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53979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2764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A Korol</cp:lastModifiedBy>
  <cp:revision>16</cp:revision>
  <cp:lastPrinted>2021-12-14T06:50:00Z</cp:lastPrinted>
  <dcterms:created xsi:type="dcterms:W3CDTF">2021-08-05T09:08:00Z</dcterms:created>
  <dcterms:modified xsi:type="dcterms:W3CDTF">2022-02-18T12:44:00Z</dcterms:modified>
</cp:coreProperties>
</file>