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75" w:rsidRPr="00593DEA" w:rsidRDefault="00194175" w:rsidP="00194175">
      <w:pPr>
        <w:pStyle w:val="20"/>
        <w:shd w:val="clear" w:color="auto" w:fill="auto"/>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 xml:space="preserve">АНАЛІЗ РЕГУЛЯТОРНОГО ВПЛИВУ </w:t>
      </w:r>
    </w:p>
    <w:p w:rsidR="00194175" w:rsidRPr="00593DEA" w:rsidRDefault="00194175" w:rsidP="00194175">
      <w:pPr>
        <w:pStyle w:val="20"/>
        <w:shd w:val="clear" w:color="auto" w:fill="auto"/>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 xml:space="preserve">до проєкту наказу Міністерства захисту довкілля та природних ресурсів України </w:t>
      </w:r>
      <w:r w:rsidR="00836C57" w:rsidRPr="00836C57">
        <w:rPr>
          <w:rFonts w:ascii="Times New Roman" w:hAnsi="Times New Roman" w:cs="Times New Roman"/>
          <w:spacing w:val="0"/>
          <w:sz w:val="27"/>
          <w:szCs w:val="27"/>
        </w:rPr>
        <w:t>«Про затвердження Інструкції зі складання проєктів та кошторисів на проведення геологорозвідувальних робіт»</w:t>
      </w:r>
    </w:p>
    <w:p w:rsidR="00194175" w:rsidRPr="00593DEA" w:rsidRDefault="00194175" w:rsidP="00194175">
      <w:pPr>
        <w:pStyle w:val="20"/>
        <w:shd w:val="clear" w:color="auto" w:fill="auto"/>
        <w:spacing w:after="0" w:line="240" w:lineRule="auto"/>
        <w:ind w:firstLine="567"/>
        <w:rPr>
          <w:rFonts w:ascii="Times New Roman" w:hAnsi="Times New Roman" w:cs="Times New Roman"/>
          <w:spacing w:val="0"/>
          <w:sz w:val="27"/>
          <w:szCs w:val="27"/>
        </w:rPr>
      </w:pPr>
    </w:p>
    <w:p w:rsidR="00194175" w:rsidRPr="00593DEA" w:rsidRDefault="00194175" w:rsidP="00194175">
      <w:pPr>
        <w:pStyle w:val="20"/>
        <w:shd w:val="clear" w:color="auto" w:fill="auto"/>
        <w:tabs>
          <w:tab w:val="left" w:pos="3758"/>
        </w:tabs>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І. Визначення проблеми</w:t>
      </w:r>
    </w:p>
    <w:p w:rsidR="00194175" w:rsidRPr="00593DEA" w:rsidRDefault="00194175" w:rsidP="00194175">
      <w:pPr>
        <w:pStyle w:val="20"/>
        <w:shd w:val="clear" w:color="auto" w:fill="auto"/>
        <w:tabs>
          <w:tab w:val="left" w:pos="3758"/>
        </w:tabs>
        <w:spacing w:after="0" w:line="240" w:lineRule="auto"/>
        <w:ind w:firstLine="567"/>
        <w:rPr>
          <w:rFonts w:ascii="Times New Roman" w:hAnsi="Times New Roman" w:cs="Times New Roman"/>
          <w:spacing w:val="0"/>
          <w:sz w:val="27"/>
          <w:szCs w:val="27"/>
        </w:rPr>
      </w:pPr>
    </w:p>
    <w:p w:rsidR="00A02D96" w:rsidRPr="006F0E24" w:rsidRDefault="006F0E24" w:rsidP="00A02D96">
      <w:pPr>
        <w:pStyle w:val="rvps2"/>
        <w:shd w:val="clear" w:color="auto" w:fill="FFFFFF"/>
        <w:spacing w:before="0" w:beforeAutospacing="0" w:after="0" w:afterAutospacing="0"/>
        <w:ind w:firstLine="567"/>
        <w:jc w:val="both"/>
        <w:rPr>
          <w:sz w:val="27"/>
          <w:szCs w:val="27"/>
          <w:lang w:val="uk-UA" w:eastAsia="ru-RU"/>
        </w:rPr>
      </w:pPr>
      <w:r w:rsidRPr="006F0E24">
        <w:rPr>
          <w:sz w:val="27"/>
          <w:szCs w:val="27"/>
          <w:lang w:val="uk-UA" w:eastAsia="ru-RU"/>
        </w:rPr>
        <w:t xml:space="preserve">Відповідно </w:t>
      </w:r>
      <w:r w:rsidR="00E02E7A" w:rsidRPr="006F0E24">
        <w:rPr>
          <w:sz w:val="27"/>
          <w:szCs w:val="27"/>
          <w:lang w:val="uk-UA" w:eastAsia="ru-RU"/>
        </w:rPr>
        <w:t xml:space="preserve">до Положення про Міністерство </w:t>
      </w:r>
      <w:r w:rsidR="00A02D96" w:rsidRPr="006F0E24">
        <w:rPr>
          <w:sz w:val="27"/>
          <w:szCs w:val="27"/>
          <w:lang w:val="uk-UA"/>
        </w:rPr>
        <w:t>захисту довкілля та природних ресурсів України</w:t>
      </w:r>
      <w:r w:rsidR="00E02E7A" w:rsidRPr="006F0E24">
        <w:rPr>
          <w:sz w:val="27"/>
          <w:szCs w:val="27"/>
          <w:lang w:val="uk-UA" w:eastAsia="ru-RU"/>
        </w:rPr>
        <w:t>, затвердженого постановою Кабінету Міністрів України від</w:t>
      </w:r>
      <w:r w:rsidR="002711C8" w:rsidRPr="006F0E24">
        <w:rPr>
          <w:sz w:val="27"/>
          <w:szCs w:val="27"/>
          <w:lang w:val="uk-UA" w:eastAsia="ru-RU"/>
        </w:rPr>
        <w:t> </w:t>
      </w:r>
      <w:r w:rsidR="00A02D96" w:rsidRPr="006F0E24">
        <w:rPr>
          <w:sz w:val="27"/>
          <w:szCs w:val="27"/>
          <w:lang w:val="uk-UA" w:eastAsia="ru-RU"/>
        </w:rPr>
        <w:t>25</w:t>
      </w:r>
      <w:r w:rsidR="0035219C">
        <w:rPr>
          <w:sz w:val="27"/>
          <w:szCs w:val="27"/>
          <w:lang w:val="uk-UA" w:eastAsia="ru-RU"/>
        </w:rPr>
        <w:t xml:space="preserve"> червня </w:t>
      </w:r>
      <w:r w:rsidR="00E02E7A" w:rsidRPr="006F0E24">
        <w:rPr>
          <w:sz w:val="27"/>
          <w:szCs w:val="27"/>
          <w:lang w:val="uk-UA" w:eastAsia="ru-RU"/>
        </w:rPr>
        <w:t>20</w:t>
      </w:r>
      <w:r w:rsidR="00A02D96" w:rsidRPr="006F0E24">
        <w:rPr>
          <w:sz w:val="27"/>
          <w:szCs w:val="27"/>
          <w:lang w:val="uk-UA" w:eastAsia="ru-RU"/>
        </w:rPr>
        <w:t>20</w:t>
      </w:r>
      <w:r w:rsidR="0035219C">
        <w:rPr>
          <w:sz w:val="27"/>
          <w:szCs w:val="27"/>
          <w:lang w:val="uk-UA" w:eastAsia="ru-RU"/>
        </w:rPr>
        <w:t xml:space="preserve"> року</w:t>
      </w:r>
      <w:r w:rsidR="00E02E7A" w:rsidRPr="006F0E24">
        <w:rPr>
          <w:sz w:val="27"/>
          <w:szCs w:val="27"/>
          <w:lang w:val="uk-UA" w:eastAsia="ru-RU"/>
        </w:rPr>
        <w:t xml:space="preserve"> № 6</w:t>
      </w:r>
      <w:r w:rsidR="00A02D96" w:rsidRPr="006F0E24">
        <w:rPr>
          <w:sz w:val="27"/>
          <w:szCs w:val="27"/>
          <w:lang w:val="uk-UA" w:eastAsia="ru-RU"/>
        </w:rPr>
        <w:t>14</w:t>
      </w:r>
      <w:r w:rsidR="00E02E7A" w:rsidRPr="006F0E24">
        <w:rPr>
          <w:sz w:val="27"/>
          <w:szCs w:val="27"/>
          <w:lang w:val="uk-UA" w:eastAsia="ru-RU"/>
        </w:rPr>
        <w:t xml:space="preserve">, </w:t>
      </w:r>
      <w:r w:rsidR="00A02D96" w:rsidRPr="006F0E24">
        <w:rPr>
          <w:sz w:val="27"/>
          <w:szCs w:val="27"/>
          <w:lang w:val="uk-UA" w:eastAsia="ru-RU"/>
        </w:rPr>
        <w:t xml:space="preserve">Міністерство </w:t>
      </w:r>
      <w:r w:rsidR="00A02D96" w:rsidRPr="006F0E24">
        <w:rPr>
          <w:sz w:val="27"/>
          <w:szCs w:val="27"/>
          <w:lang w:val="uk-UA"/>
        </w:rPr>
        <w:t>захисту довкілля та природних ресурсів України</w:t>
      </w:r>
      <w:r w:rsidR="00E02E7A" w:rsidRPr="006F0E24">
        <w:rPr>
          <w:sz w:val="27"/>
          <w:szCs w:val="27"/>
          <w:lang w:val="uk-UA" w:eastAsia="ru-RU"/>
        </w:rPr>
        <w:t xml:space="preserve"> є головним органом у системі центральних органів ви</w:t>
      </w:r>
      <w:r w:rsidR="00A02D96" w:rsidRPr="006F0E24">
        <w:rPr>
          <w:sz w:val="27"/>
          <w:szCs w:val="27"/>
          <w:lang w:val="uk-UA" w:eastAsia="ru-RU"/>
        </w:rPr>
        <w:t>конавчої влади, який забезпечує</w:t>
      </w:r>
      <w:r w:rsidR="00E02E7A" w:rsidRPr="006F0E24">
        <w:rPr>
          <w:sz w:val="27"/>
          <w:szCs w:val="27"/>
          <w:lang w:val="uk-UA" w:eastAsia="ru-RU"/>
        </w:rPr>
        <w:t xml:space="preserve"> </w:t>
      </w:r>
      <w:r w:rsidR="00A02D96" w:rsidRPr="006F0E24">
        <w:rPr>
          <w:sz w:val="27"/>
          <w:szCs w:val="27"/>
          <w:lang w:val="uk-UA" w:eastAsia="ru-RU"/>
        </w:rPr>
        <w:t xml:space="preserve">формування державної політики </w:t>
      </w:r>
      <w:bookmarkStart w:id="0" w:name="n20"/>
      <w:bookmarkEnd w:id="0"/>
      <w:r w:rsidR="00A02D96" w:rsidRPr="00A02D96">
        <w:rPr>
          <w:sz w:val="27"/>
          <w:szCs w:val="27"/>
          <w:lang w:val="uk-UA" w:eastAsia="ru-RU"/>
        </w:rPr>
        <w:t xml:space="preserve">у сфері геологічного вивчення та </w:t>
      </w:r>
      <w:r w:rsidR="00A02D96" w:rsidRPr="006F0E24">
        <w:rPr>
          <w:sz w:val="27"/>
          <w:szCs w:val="27"/>
          <w:lang w:val="uk-UA" w:eastAsia="ru-RU"/>
        </w:rPr>
        <w:t>раціонального використання надр.</w:t>
      </w:r>
    </w:p>
    <w:p w:rsidR="002711C8" w:rsidRPr="006F0E24" w:rsidRDefault="002711C8" w:rsidP="006F0E24">
      <w:pPr>
        <w:pStyle w:val="rvps2"/>
        <w:shd w:val="clear" w:color="auto" w:fill="FFFFFF"/>
        <w:spacing w:before="0" w:beforeAutospacing="0" w:after="0" w:afterAutospacing="0"/>
        <w:ind w:firstLine="567"/>
        <w:jc w:val="both"/>
        <w:rPr>
          <w:sz w:val="27"/>
          <w:szCs w:val="27"/>
          <w:lang w:val="uk-UA" w:eastAsia="ru-RU"/>
        </w:rPr>
      </w:pPr>
      <w:r w:rsidRPr="006F0E24">
        <w:rPr>
          <w:sz w:val="27"/>
          <w:szCs w:val="27"/>
          <w:lang w:val="uk-UA" w:eastAsia="ru-RU"/>
        </w:rPr>
        <w:t>Законом України від 21</w:t>
      </w:r>
      <w:r w:rsidR="0035219C">
        <w:rPr>
          <w:sz w:val="27"/>
          <w:szCs w:val="27"/>
          <w:lang w:val="uk-UA" w:eastAsia="ru-RU"/>
        </w:rPr>
        <w:t xml:space="preserve"> квітня </w:t>
      </w:r>
      <w:r w:rsidRPr="006F0E24">
        <w:rPr>
          <w:sz w:val="27"/>
          <w:szCs w:val="27"/>
          <w:lang w:val="uk-UA" w:eastAsia="ru-RU"/>
        </w:rPr>
        <w:t>2011</w:t>
      </w:r>
      <w:r w:rsidR="0035219C">
        <w:rPr>
          <w:sz w:val="27"/>
          <w:szCs w:val="27"/>
          <w:lang w:val="uk-UA" w:eastAsia="ru-RU"/>
        </w:rPr>
        <w:t xml:space="preserve"> року</w:t>
      </w:r>
      <w:r w:rsidRPr="006F0E24">
        <w:rPr>
          <w:sz w:val="27"/>
          <w:szCs w:val="27"/>
          <w:lang w:val="uk-UA" w:eastAsia="ru-RU"/>
        </w:rPr>
        <w:t xml:space="preserve"> № 3268-VI затверджено Загальнодержавну програму розвитку мінерально-сировинної бази </w:t>
      </w:r>
      <w:r w:rsidR="006F0E24">
        <w:rPr>
          <w:sz w:val="27"/>
          <w:szCs w:val="27"/>
          <w:lang w:val="uk-UA" w:eastAsia="ru-RU"/>
        </w:rPr>
        <w:t>У</w:t>
      </w:r>
      <w:r w:rsidRPr="006F0E24">
        <w:rPr>
          <w:sz w:val="27"/>
          <w:szCs w:val="27"/>
          <w:lang w:val="uk-UA" w:eastAsia="ru-RU"/>
        </w:rPr>
        <w:t>країни на період до 2030 року</w:t>
      </w:r>
      <w:r w:rsidR="00073107">
        <w:rPr>
          <w:sz w:val="27"/>
          <w:szCs w:val="27"/>
          <w:lang w:val="uk-UA" w:eastAsia="ru-RU"/>
        </w:rPr>
        <w:t xml:space="preserve"> (далі – Програма)</w:t>
      </w:r>
      <w:r w:rsidRPr="006F0E24">
        <w:rPr>
          <w:sz w:val="27"/>
          <w:szCs w:val="27"/>
          <w:lang w:val="uk-UA" w:eastAsia="ru-RU"/>
        </w:rPr>
        <w:t>, метою якої є забезпечення потреб національної економіки у мінеральних ресурсах за рахунок власного видобутку, зменшення залежності України від імпорту мінеральних ресурсів та збільшення експортного потенціалу країни за рахунок власного видобутку корисних копалин, що мають великий попит на світовому ринку.</w:t>
      </w:r>
    </w:p>
    <w:p w:rsidR="002711C8" w:rsidRPr="006F0E24" w:rsidRDefault="002711C8" w:rsidP="00073107">
      <w:pPr>
        <w:pStyle w:val="rvps2"/>
        <w:spacing w:before="0" w:beforeAutospacing="0" w:after="0" w:afterAutospacing="0"/>
        <w:ind w:firstLine="567"/>
        <w:jc w:val="both"/>
        <w:rPr>
          <w:sz w:val="27"/>
          <w:szCs w:val="27"/>
          <w:lang w:val="uk-UA" w:eastAsia="ru-RU"/>
        </w:rPr>
      </w:pPr>
      <w:bookmarkStart w:id="1" w:name="n34"/>
      <w:bookmarkEnd w:id="1"/>
      <w:r w:rsidRPr="006F0E24">
        <w:rPr>
          <w:sz w:val="27"/>
          <w:szCs w:val="27"/>
          <w:lang w:val="uk-UA" w:eastAsia="ru-RU"/>
        </w:rPr>
        <w:t>Мета Програми повною мірою відповідає сучасним європейським принципам сталого розвитку</w:t>
      </w:r>
      <w:r w:rsidR="00073107">
        <w:rPr>
          <w:sz w:val="27"/>
          <w:szCs w:val="27"/>
          <w:lang w:val="uk-UA" w:eastAsia="ru-RU"/>
        </w:rPr>
        <w:t xml:space="preserve"> – </w:t>
      </w:r>
      <w:r w:rsidRPr="006F0E24">
        <w:rPr>
          <w:sz w:val="27"/>
          <w:szCs w:val="27"/>
          <w:lang w:val="uk-UA" w:eastAsia="ru-RU"/>
        </w:rPr>
        <w:t>забезпечення нагальних потреб у мінеральних ресурсах без ризику позбавлення майбутніх поколінь у забезпеченні їх потреб.</w:t>
      </w:r>
    </w:p>
    <w:p w:rsidR="002711C8" w:rsidRDefault="006F0E24" w:rsidP="002711C8">
      <w:pPr>
        <w:pStyle w:val="rvps2"/>
        <w:shd w:val="clear" w:color="auto" w:fill="FFFFFF"/>
        <w:spacing w:before="0" w:beforeAutospacing="0" w:after="0" w:afterAutospacing="0"/>
        <w:ind w:firstLine="567"/>
        <w:jc w:val="both"/>
        <w:rPr>
          <w:sz w:val="27"/>
          <w:szCs w:val="27"/>
          <w:lang w:val="uk-UA" w:eastAsia="ru-RU"/>
        </w:rPr>
      </w:pPr>
      <w:r w:rsidRPr="006F0E24">
        <w:rPr>
          <w:sz w:val="27"/>
          <w:szCs w:val="27"/>
          <w:lang w:val="uk-UA" w:eastAsia="ru-RU"/>
        </w:rPr>
        <w:t>Ціл</w:t>
      </w:r>
      <w:r w:rsidR="00073107">
        <w:rPr>
          <w:sz w:val="27"/>
          <w:szCs w:val="27"/>
          <w:lang w:val="uk-UA" w:eastAsia="ru-RU"/>
        </w:rPr>
        <w:t>лю</w:t>
      </w:r>
      <w:r w:rsidRPr="006F0E24">
        <w:rPr>
          <w:sz w:val="27"/>
          <w:szCs w:val="27"/>
          <w:lang w:val="uk-UA" w:eastAsia="ru-RU"/>
        </w:rPr>
        <w:t xml:space="preserve"> державної політики, на досягнення як</w:t>
      </w:r>
      <w:r w:rsidR="00073107">
        <w:rPr>
          <w:sz w:val="27"/>
          <w:szCs w:val="27"/>
          <w:lang w:val="uk-UA" w:eastAsia="ru-RU"/>
        </w:rPr>
        <w:t xml:space="preserve">ої </w:t>
      </w:r>
      <w:r w:rsidRPr="006F0E24">
        <w:rPr>
          <w:sz w:val="27"/>
          <w:szCs w:val="27"/>
          <w:lang w:val="uk-UA" w:eastAsia="ru-RU"/>
        </w:rPr>
        <w:t xml:space="preserve">спрямовано реалізацію </w:t>
      </w:r>
      <w:r w:rsidR="00073107">
        <w:rPr>
          <w:sz w:val="27"/>
          <w:szCs w:val="27"/>
          <w:lang w:val="uk-UA" w:eastAsia="ru-RU"/>
        </w:rPr>
        <w:t>П</w:t>
      </w:r>
      <w:r w:rsidRPr="006F0E24">
        <w:rPr>
          <w:sz w:val="27"/>
          <w:szCs w:val="27"/>
          <w:lang w:val="uk-UA" w:eastAsia="ru-RU"/>
        </w:rPr>
        <w:t>рограми</w:t>
      </w:r>
      <w:r w:rsidR="00073107">
        <w:rPr>
          <w:sz w:val="27"/>
          <w:szCs w:val="27"/>
          <w:lang w:val="uk-UA" w:eastAsia="ru-RU"/>
        </w:rPr>
        <w:t xml:space="preserve"> є</w:t>
      </w:r>
      <w:r w:rsidRPr="006F0E24">
        <w:rPr>
          <w:sz w:val="27"/>
          <w:szCs w:val="27"/>
          <w:lang w:val="uk-UA" w:eastAsia="ru-RU"/>
        </w:rPr>
        <w:t xml:space="preserve"> </w:t>
      </w:r>
      <w:r w:rsidR="002711C8" w:rsidRPr="006F0E24">
        <w:rPr>
          <w:sz w:val="27"/>
          <w:szCs w:val="27"/>
          <w:lang w:val="uk-UA" w:eastAsia="ru-RU"/>
        </w:rPr>
        <w:t>розвиток мінерально-сировинної бази з державницьким акцентом на приріст критичних та стратегічних запасів</w:t>
      </w:r>
      <w:r w:rsidR="00073107">
        <w:rPr>
          <w:sz w:val="27"/>
          <w:szCs w:val="27"/>
          <w:lang w:val="uk-UA" w:eastAsia="ru-RU"/>
        </w:rPr>
        <w:t>.</w:t>
      </w:r>
    </w:p>
    <w:p w:rsidR="00073107" w:rsidRPr="006F0E24" w:rsidRDefault="00073107" w:rsidP="002711C8">
      <w:pPr>
        <w:pStyle w:val="rvps2"/>
        <w:shd w:val="clear" w:color="auto" w:fill="FFFFFF"/>
        <w:spacing w:before="0" w:beforeAutospacing="0" w:after="0" w:afterAutospacing="0"/>
        <w:ind w:firstLine="567"/>
        <w:jc w:val="both"/>
        <w:rPr>
          <w:sz w:val="27"/>
          <w:szCs w:val="27"/>
          <w:lang w:val="uk-UA" w:eastAsia="ru-RU"/>
        </w:rPr>
      </w:pPr>
      <w:r>
        <w:rPr>
          <w:sz w:val="27"/>
          <w:szCs w:val="27"/>
          <w:lang w:val="uk-UA" w:eastAsia="ru-RU"/>
        </w:rPr>
        <w:t>Для виконання</w:t>
      </w:r>
      <w:r w:rsidR="003E4C66">
        <w:rPr>
          <w:sz w:val="27"/>
          <w:szCs w:val="27"/>
          <w:lang w:eastAsia="ru-RU"/>
        </w:rPr>
        <w:t xml:space="preserve"> </w:t>
      </w:r>
      <w:r w:rsidR="003E4C66">
        <w:rPr>
          <w:sz w:val="27"/>
          <w:szCs w:val="27"/>
          <w:lang w:val="uk-UA" w:eastAsia="ru-RU"/>
        </w:rPr>
        <w:t xml:space="preserve">завдань та заходів Програми, Державна служба геології та надр України </w:t>
      </w:r>
      <w:r w:rsidR="00B20CCF">
        <w:rPr>
          <w:sz w:val="27"/>
          <w:szCs w:val="27"/>
          <w:lang w:val="uk-UA" w:eastAsia="ru-RU"/>
        </w:rPr>
        <w:t xml:space="preserve">є замовником </w:t>
      </w:r>
      <w:r w:rsidR="003E4C66">
        <w:rPr>
          <w:sz w:val="27"/>
          <w:szCs w:val="27"/>
          <w:lang w:val="uk-UA" w:eastAsia="ru-RU"/>
        </w:rPr>
        <w:t>геологорозвідувальних робіт у підприємств геологічної галузі в розмірах, передбачених Законами України про Державний бюджет України на відповідний рік</w:t>
      </w:r>
      <w:r w:rsidR="00B20CCF">
        <w:rPr>
          <w:sz w:val="27"/>
          <w:szCs w:val="27"/>
          <w:lang w:val="uk-UA" w:eastAsia="ru-RU"/>
        </w:rPr>
        <w:t>,</w:t>
      </w:r>
      <w:r w:rsidR="003E4C66">
        <w:rPr>
          <w:sz w:val="27"/>
          <w:szCs w:val="27"/>
          <w:lang w:val="uk-UA" w:eastAsia="ru-RU"/>
        </w:rPr>
        <w:t xml:space="preserve"> та відповідно до затвердженої проектно-кошторисної документації.</w:t>
      </w:r>
      <w:r>
        <w:rPr>
          <w:sz w:val="27"/>
          <w:szCs w:val="27"/>
          <w:lang w:val="uk-UA" w:eastAsia="ru-RU"/>
        </w:rPr>
        <w:t xml:space="preserve"> </w:t>
      </w:r>
    </w:p>
    <w:p w:rsidR="00A02D96" w:rsidRPr="006F0E24" w:rsidRDefault="00A02D96" w:rsidP="00AC377A">
      <w:pPr>
        <w:pStyle w:val="rvps2"/>
        <w:shd w:val="clear" w:color="auto" w:fill="FFFFFF"/>
        <w:spacing w:before="0" w:beforeAutospacing="0" w:after="0" w:afterAutospacing="0"/>
        <w:ind w:firstLine="567"/>
        <w:jc w:val="both"/>
        <w:rPr>
          <w:sz w:val="27"/>
          <w:szCs w:val="27"/>
          <w:lang w:val="uk-UA" w:eastAsia="ru-RU"/>
        </w:rPr>
      </w:pPr>
      <w:r w:rsidRPr="006F0E24">
        <w:rPr>
          <w:sz w:val="27"/>
          <w:szCs w:val="27"/>
          <w:lang w:val="uk-UA" w:eastAsia="ru-RU"/>
        </w:rPr>
        <w:t>Пунктом 6 Порядку використання коштів, передбачених у державному бюджеті для розвитку мінерально-сировинної бази, затвердженого постановою Кабінету Міністрів України від 28 лютого 2011 року № 301, передбачено, що сума видатків на геологорозвідувальні роботи визначається виконавцем таких робіт у пооб'єктних планах їх проведення виходячи з повної кошторисної вартості, обсягів проведення на початок бюджетного року, залишку кошторисної вартості, умов проведення робіт на об'єктах та відповідно до затверджених розпорядником бюджетних коштів нижчого рівня проектно-кошторисних документів на кожний об'єкт, складених відповідно до вимог Інструкції зі складання проектів та кошторисів на проведення геологорозвідувальних робіт, затвердженої головним розпорядником коштів за погодженням з Мінфіном.</w:t>
      </w:r>
    </w:p>
    <w:p w:rsidR="00A02D96" w:rsidRPr="006F0E24" w:rsidRDefault="00A02D96" w:rsidP="00AC377A">
      <w:pPr>
        <w:pStyle w:val="rvps2"/>
        <w:shd w:val="clear" w:color="auto" w:fill="FFFFFF"/>
        <w:spacing w:before="0" w:beforeAutospacing="0" w:after="0" w:afterAutospacing="0"/>
        <w:ind w:firstLine="567"/>
        <w:jc w:val="both"/>
        <w:rPr>
          <w:sz w:val="27"/>
          <w:szCs w:val="27"/>
          <w:lang w:val="uk-UA" w:eastAsia="ru-RU"/>
        </w:rPr>
      </w:pPr>
      <w:r w:rsidRPr="006F0E24">
        <w:rPr>
          <w:sz w:val="27"/>
          <w:szCs w:val="27"/>
          <w:lang w:val="uk-UA" w:eastAsia="ru-RU"/>
        </w:rPr>
        <w:t xml:space="preserve">Водночас абзацом другим пункту 6 Порядку проведення геологорозвідувальних робіт за рахунок коштів державного бюджету, затвердженого постановою Кабінету Міністрів України від 25 січня 1999 року № 83, передбачено, що повна кошторисна вартість геологорозвідувальних робіт </w:t>
      </w:r>
      <w:r w:rsidRPr="006F0E24">
        <w:rPr>
          <w:sz w:val="27"/>
          <w:szCs w:val="27"/>
          <w:lang w:val="uk-UA" w:eastAsia="ru-RU"/>
        </w:rPr>
        <w:lastRenderedPageBreak/>
        <w:t>розраховується на основі збірників укрупнених кошторисних норм, переліку назв посад і професій виконавців геологорозвідувальних робіт та їх посадових окладів і тарифних ставок та каталогу базових цін на матеріальні ресурси, які використовуються під час геологорозвідувальних робіт, відповідно до Інструкції зі складання проектів та кошторисів, які затверджуються Міндовкіллям за погодженням з Мінфіном.</w:t>
      </w:r>
    </w:p>
    <w:p w:rsidR="0035219C" w:rsidRPr="00686C50" w:rsidRDefault="0035219C" w:rsidP="00686C50">
      <w:pPr>
        <w:pStyle w:val="rvps2"/>
        <w:shd w:val="clear" w:color="auto" w:fill="FFFFFF"/>
        <w:spacing w:before="0" w:beforeAutospacing="0" w:after="0" w:afterAutospacing="0"/>
        <w:ind w:firstLine="567"/>
        <w:jc w:val="both"/>
        <w:rPr>
          <w:sz w:val="27"/>
          <w:szCs w:val="27"/>
          <w:lang w:val="uk-UA" w:eastAsia="ru-RU"/>
        </w:rPr>
      </w:pPr>
      <w:r>
        <w:rPr>
          <w:sz w:val="27"/>
          <w:szCs w:val="27"/>
          <w:lang w:val="uk-UA" w:eastAsia="ru-RU"/>
        </w:rPr>
        <w:t xml:space="preserve">На сьогодні Інструкція зі складання проектів та кошторисів на проведення геологорозвідувальних робіт відсутня, а геологічні підприємства керуються Наказом Міністерства геології СРСР від 14 березня 1985 року № 121 «Об </w:t>
      </w:r>
      <w:r w:rsidRPr="00686C50">
        <w:rPr>
          <w:sz w:val="27"/>
          <w:szCs w:val="27"/>
          <w:lang w:val="uk-UA" w:eastAsia="ru-RU"/>
        </w:rPr>
        <w:t>утверждении Инструкции по составлению проектов и смет на геологоразведочные работы».</w:t>
      </w:r>
    </w:p>
    <w:p w:rsidR="00686C50" w:rsidRPr="00686C50" w:rsidRDefault="0035219C" w:rsidP="00686C50">
      <w:pPr>
        <w:pStyle w:val="rvps2"/>
        <w:shd w:val="clear" w:color="auto" w:fill="FFFFFF"/>
        <w:spacing w:before="0" w:beforeAutospacing="0" w:after="0" w:afterAutospacing="0"/>
        <w:ind w:firstLine="567"/>
        <w:jc w:val="both"/>
        <w:rPr>
          <w:sz w:val="27"/>
          <w:szCs w:val="27"/>
          <w:lang w:val="uk-UA" w:eastAsia="ru-RU"/>
        </w:rPr>
      </w:pPr>
      <w:r w:rsidRPr="00686C50">
        <w:rPr>
          <w:sz w:val="27"/>
          <w:szCs w:val="27"/>
          <w:lang w:val="uk-UA" w:eastAsia="ru-RU"/>
        </w:rPr>
        <w:t xml:space="preserve">Проект наказу Міністерства захисту довкілля та природних ресурсів України «Про затвердження Інструкції зі складання проєктів та кошторисів на проведення геологорозвідувальних робіт» </w:t>
      </w:r>
      <w:r w:rsidR="00686C50" w:rsidRPr="00686C50">
        <w:rPr>
          <w:sz w:val="27"/>
          <w:szCs w:val="27"/>
          <w:lang w:val="uk-UA" w:eastAsia="ru-RU"/>
        </w:rPr>
        <w:t>забезпечить єдиний підхід до проєктування та визначення кошторисної вартості геологорозвідувальних робіт, які виконуються за рахунок коштів державного бюджету на території України спеціалізованими суб’єктами господарювання незалежно від форм власності.</w:t>
      </w:r>
    </w:p>
    <w:p w:rsidR="00686C50" w:rsidRPr="00686C50" w:rsidRDefault="00686C50" w:rsidP="00686C50">
      <w:pPr>
        <w:pStyle w:val="rvps2"/>
        <w:shd w:val="clear" w:color="auto" w:fill="FFFFFF"/>
        <w:spacing w:before="0" w:beforeAutospacing="0" w:after="0" w:afterAutospacing="0"/>
        <w:ind w:firstLine="567"/>
        <w:jc w:val="both"/>
        <w:rPr>
          <w:sz w:val="27"/>
          <w:szCs w:val="27"/>
          <w:lang w:val="uk-UA" w:eastAsia="ru-RU"/>
        </w:rPr>
      </w:pPr>
      <w:r w:rsidRPr="00686C50">
        <w:rPr>
          <w:sz w:val="27"/>
          <w:szCs w:val="27"/>
          <w:lang w:val="uk-UA" w:eastAsia="ru-RU"/>
        </w:rPr>
        <w:t>Проєктом наказу Міністерства захисту довкілля та природних ресурсів України «Про затвердження Інструкції з</w:t>
      </w:r>
      <w:r w:rsidR="00B22B08">
        <w:rPr>
          <w:sz w:val="27"/>
          <w:szCs w:val="27"/>
          <w:lang w:val="uk-UA" w:eastAsia="ru-RU"/>
        </w:rPr>
        <w:t>і</w:t>
      </w:r>
      <w:r w:rsidRPr="00686C50">
        <w:rPr>
          <w:sz w:val="27"/>
          <w:szCs w:val="27"/>
          <w:lang w:val="uk-UA" w:eastAsia="ru-RU"/>
        </w:rPr>
        <w:t xml:space="preserve"> складання проєктів та кошторисів на проведення геологорозвідувальних робіт» затверджується склад, зміст, порядок складання, погодження та затвердження проєктів або програм та кошторисів на проведення всіх видів геологорозвідувальних робіт на об’єкті, у тому числі і робіт зі спорудження свердловин на нафту і газ на суші, на континентальному шельфі та в межах виключної (морської) економічної зони України, а також зі спорудження спеціальних свердловин установками нафтового ряду, до яких віднесені свердловини для скиду промислових і стічних вод, відпрацьованої промивальної рідини; водозабірних свердловин; свердловин, які буряться на йод, бром, лужні, термальні води; для водопостачання, шахтоосушення, вентиляції, штучного закріплення ґрунтів; для цілей газозберігання та інших технічних цілей, робіт науково-технічного характеру, які виконуються за кошти державного бюджету.</w:t>
      </w:r>
    </w:p>
    <w:p w:rsidR="00194175" w:rsidRPr="00593DEA" w:rsidRDefault="00194175" w:rsidP="00194175">
      <w:pPr>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 xml:space="preserve">Реалізація </w:t>
      </w:r>
      <w:r w:rsidR="00686C50">
        <w:rPr>
          <w:rFonts w:ascii="Times New Roman" w:hAnsi="Times New Roman" w:cs="Times New Roman"/>
          <w:sz w:val="27"/>
          <w:szCs w:val="27"/>
        </w:rPr>
        <w:t xml:space="preserve">Інструкції </w:t>
      </w:r>
      <w:r w:rsidRPr="00593DEA">
        <w:rPr>
          <w:rFonts w:ascii="Times New Roman" w:hAnsi="Times New Roman" w:cs="Times New Roman"/>
          <w:sz w:val="27"/>
          <w:szCs w:val="27"/>
        </w:rPr>
        <w:t>має вплив на наступні групи учасників</w:t>
      </w:r>
      <w:r w:rsidR="00B22B08">
        <w:rPr>
          <w:rFonts w:ascii="Times New Roman" w:hAnsi="Times New Roman" w:cs="Times New Roman"/>
          <w:sz w:val="27"/>
          <w:szCs w:val="27"/>
        </w:rPr>
        <w:t>:</w:t>
      </w:r>
    </w:p>
    <w:p w:rsidR="00593DEA" w:rsidRPr="00593DEA" w:rsidRDefault="00593DEA" w:rsidP="00194175">
      <w:pPr>
        <w:spacing w:after="0" w:line="240" w:lineRule="auto"/>
        <w:ind w:firstLine="567"/>
        <w:jc w:val="both"/>
        <w:rPr>
          <w:rFonts w:ascii="Times New Roman" w:hAnsi="Times New Roman" w:cs="Times New Roman"/>
          <w:sz w:val="27"/>
          <w:szCs w:val="27"/>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6"/>
        <w:gridCol w:w="3166"/>
        <w:gridCol w:w="3166"/>
      </w:tblGrid>
      <w:tr w:rsidR="00194175" w:rsidRPr="00593DEA" w:rsidTr="0050078D">
        <w:trPr>
          <w:trHeight w:val="47"/>
        </w:trPr>
        <w:tc>
          <w:tcPr>
            <w:tcW w:w="3166" w:type="dxa"/>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Групи (підгрупи)</w:t>
            </w:r>
          </w:p>
        </w:tc>
        <w:tc>
          <w:tcPr>
            <w:tcW w:w="3166" w:type="dxa"/>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Так</w:t>
            </w:r>
          </w:p>
        </w:tc>
        <w:tc>
          <w:tcPr>
            <w:tcW w:w="3166" w:type="dxa"/>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Ні</w:t>
            </w:r>
          </w:p>
        </w:tc>
      </w:tr>
      <w:tr w:rsidR="00194175" w:rsidRPr="00593DEA" w:rsidTr="0050078D">
        <w:trPr>
          <w:trHeight w:val="47"/>
        </w:trPr>
        <w:tc>
          <w:tcPr>
            <w:tcW w:w="3166" w:type="dxa"/>
            <w:vAlign w:val="center"/>
          </w:tcPr>
          <w:p w:rsidR="00194175" w:rsidRPr="00593DEA" w:rsidRDefault="00194175" w:rsidP="0050078D">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Громадяни</w:t>
            </w:r>
          </w:p>
        </w:tc>
        <w:tc>
          <w:tcPr>
            <w:tcW w:w="3166" w:type="dxa"/>
            <w:vAlign w:val="center"/>
          </w:tcPr>
          <w:p w:rsidR="00194175" w:rsidRPr="00593DEA" w:rsidRDefault="00194175" w:rsidP="0050078D">
            <w:pPr>
              <w:spacing w:after="0" w:line="240" w:lineRule="auto"/>
              <w:jc w:val="center"/>
              <w:rPr>
                <w:rFonts w:ascii="Times New Roman" w:hAnsi="Times New Roman" w:cs="Times New Roman"/>
                <w:sz w:val="27"/>
                <w:szCs w:val="27"/>
              </w:rPr>
            </w:pPr>
          </w:p>
        </w:tc>
        <w:tc>
          <w:tcPr>
            <w:tcW w:w="3166" w:type="dxa"/>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r>
      <w:tr w:rsidR="00194175" w:rsidRPr="00593DEA" w:rsidTr="0050078D">
        <w:trPr>
          <w:trHeight w:val="238"/>
        </w:trPr>
        <w:tc>
          <w:tcPr>
            <w:tcW w:w="3166" w:type="dxa"/>
            <w:vAlign w:val="center"/>
          </w:tcPr>
          <w:p w:rsidR="00194175" w:rsidRPr="00593DEA" w:rsidRDefault="00194175" w:rsidP="0050078D">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Держава</w:t>
            </w:r>
          </w:p>
        </w:tc>
        <w:tc>
          <w:tcPr>
            <w:tcW w:w="3166" w:type="dxa"/>
            <w:vAlign w:val="center"/>
          </w:tcPr>
          <w:p w:rsidR="00194175" w:rsidRPr="00593DEA" w:rsidRDefault="00B22B08" w:rsidP="0050078D">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c>
          <w:tcPr>
            <w:tcW w:w="3166" w:type="dxa"/>
            <w:vAlign w:val="center"/>
          </w:tcPr>
          <w:p w:rsidR="00194175" w:rsidRPr="00593DEA" w:rsidRDefault="00194175" w:rsidP="00B22B08">
            <w:pPr>
              <w:spacing w:after="0" w:line="240" w:lineRule="auto"/>
              <w:jc w:val="center"/>
              <w:rPr>
                <w:rFonts w:ascii="Times New Roman" w:hAnsi="Times New Roman" w:cs="Times New Roman"/>
                <w:sz w:val="27"/>
                <w:szCs w:val="27"/>
              </w:rPr>
            </w:pPr>
          </w:p>
        </w:tc>
      </w:tr>
      <w:tr w:rsidR="00194175" w:rsidRPr="00593DEA" w:rsidTr="0050078D">
        <w:trPr>
          <w:trHeight w:val="137"/>
        </w:trPr>
        <w:tc>
          <w:tcPr>
            <w:tcW w:w="3166" w:type="dxa"/>
            <w:vAlign w:val="center"/>
          </w:tcPr>
          <w:p w:rsidR="00194175" w:rsidRPr="00593DEA" w:rsidRDefault="00194175" w:rsidP="0050078D">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С</w:t>
            </w:r>
            <w:r w:rsidR="00B22B08">
              <w:rPr>
                <w:rFonts w:ascii="Times New Roman" w:hAnsi="Times New Roman" w:cs="Times New Roman"/>
                <w:sz w:val="27"/>
                <w:szCs w:val="27"/>
              </w:rPr>
              <w:t>пеціалізовані с</w:t>
            </w:r>
            <w:r w:rsidRPr="00593DEA">
              <w:rPr>
                <w:rFonts w:ascii="Times New Roman" w:hAnsi="Times New Roman" w:cs="Times New Roman"/>
                <w:sz w:val="27"/>
                <w:szCs w:val="27"/>
              </w:rPr>
              <w:t>уб'єкти господарювання</w:t>
            </w:r>
          </w:p>
        </w:tc>
        <w:tc>
          <w:tcPr>
            <w:tcW w:w="3166" w:type="dxa"/>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c>
          <w:tcPr>
            <w:tcW w:w="3166" w:type="dxa"/>
            <w:vAlign w:val="center"/>
          </w:tcPr>
          <w:p w:rsidR="00194175" w:rsidRPr="00593DEA" w:rsidRDefault="00194175" w:rsidP="0050078D">
            <w:pPr>
              <w:spacing w:after="0" w:line="240" w:lineRule="auto"/>
              <w:jc w:val="center"/>
              <w:rPr>
                <w:rFonts w:ascii="Times New Roman" w:hAnsi="Times New Roman" w:cs="Times New Roman"/>
                <w:sz w:val="27"/>
                <w:szCs w:val="27"/>
              </w:rPr>
            </w:pPr>
          </w:p>
        </w:tc>
      </w:tr>
      <w:tr w:rsidR="00194175" w:rsidRPr="00593DEA" w:rsidTr="0050078D">
        <w:tc>
          <w:tcPr>
            <w:tcW w:w="3166" w:type="dxa"/>
            <w:vAlign w:val="center"/>
          </w:tcPr>
          <w:p w:rsidR="00194175" w:rsidRPr="00593DEA" w:rsidRDefault="00194175" w:rsidP="0050078D">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у тому числі суб'єкти малого підприємництва</w:t>
            </w:r>
          </w:p>
        </w:tc>
        <w:tc>
          <w:tcPr>
            <w:tcW w:w="3166" w:type="dxa"/>
            <w:vAlign w:val="center"/>
          </w:tcPr>
          <w:p w:rsidR="00194175" w:rsidRPr="00593DEA" w:rsidRDefault="00194175" w:rsidP="0050078D">
            <w:pPr>
              <w:spacing w:after="0" w:line="240" w:lineRule="auto"/>
              <w:jc w:val="center"/>
              <w:rPr>
                <w:rFonts w:ascii="Times New Roman" w:hAnsi="Times New Roman" w:cs="Times New Roman"/>
                <w:sz w:val="27"/>
                <w:szCs w:val="27"/>
              </w:rPr>
            </w:pPr>
          </w:p>
        </w:tc>
        <w:tc>
          <w:tcPr>
            <w:tcW w:w="3166" w:type="dxa"/>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r>
    </w:tbl>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bookmarkStart w:id="2" w:name="n95"/>
      <w:bookmarkStart w:id="3" w:name="n96"/>
      <w:bookmarkStart w:id="4" w:name="n99"/>
      <w:bookmarkStart w:id="5" w:name="bookmark9"/>
      <w:bookmarkEnd w:id="2"/>
      <w:bookmarkEnd w:id="3"/>
      <w:bookmarkEnd w:id="4"/>
    </w:p>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Врегулювання зазначених проблемних питань не може бути здійснено за допомогою:</w:t>
      </w:r>
    </w:p>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ринкових механізмів, оскільки такі питання регулюються виключно нормативно-правовими актами;</w:t>
      </w:r>
    </w:p>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діючих регуляторних актів, оскільки чинним законодавством </w:t>
      </w:r>
      <w:r w:rsidRPr="00593DEA">
        <w:rPr>
          <w:rFonts w:ascii="Times New Roman" w:hAnsi="Times New Roman" w:cs="Times New Roman"/>
          <w:bCs/>
          <w:iCs/>
          <w:sz w:val="27"/>
          <w:szCs w:val="27"/>
          <w:lang w:eastAsia="ru-RU"/>
        </w:rPr>
        <w:t xml:space="preserve">порушені питання не врегульовані. </w:t>
      </w:r>
    </w:p>
    <w:p w:rsidR="00194175" w:rsidRPr="00593DEA" w:rsidRDefault="00194175" w:rsidP="00194175">
      <w:pPr>
        <w:pStyle w:val="a6"/>
        <w:shd w:val="clear" w:color="auto" w:fill="auto"/>
        <w:spacing w:line="240" w:lineRule="auto"/>
        <w:jc w:val="center"/>
        <w:rPr>
          <w:rFonts w:ascii="Times New Roman" w:hAnsi="Times New Roman" w:cs="Times New Roman"/>
          <w:b/>
          <w:spacing w:val="0"/>
          <w:sz w:val="27"/>
          <w:szCs w:val="27"/>
        </w:rPr>
      </w:pPr>
      <w:r w:rsidRPr="00593DEA">
        <w:rPr>
          <w:rFonts w:ascii="Times New Roman" w:hAnsi="Times New Roman" w:cs="Times New Roman"/>
          <w:b/>
          <w:spacing w:val="0"/>
          <w:sz w:val="27"/>
          <w:szCs w:val="27"/>
        </w:rPr>
        <w:lastRenderedPageBreak/>
        <w:t>ІІ. Цілі державного регулювання</w:t>
      </w:r>
      <w:bookmarkEnd w:id="5"/>
    </w:p>
    <w:p w:rsidR="00194175" w:rsidRPr="00593DEA" w:rsidRDefault="00194175" w:rsidP="00194175">
      <w:pPr>
        <w:pStyle w:val="a6"/>
        <w:shd w:val="clear" w:color="auto" w:fill="auto"/>
        <w:spacing w:line="240" w:lineRule="auto"/>
        <w:jc w:val="center"/>
        <w:rPr>
          <w:rFonts w:ascii="Times New Roman" w:hAnsi="Times New Roman" w:cs="Times New Roman"/>
          <w:b/>
          <w:spacing w:val="0"/>
          <w:sz w:val="27"/>
          <w:szCs w:val="27"/>
        </w:rPr>
      </w:pPr>
    </w:p>
    <w:p w:rsidR="008846AC" w:rsidRPr="00821E08" w:rsidRDefault="008846AC" w:rsidP="008846AC">
      <w:pPr>
        <w:pStyle w:val="3"/>
        <w:spacing w:before="0" w:after="0"/>
        <w:ind w:firstLine="567"/>
        <w:rPr>
          <w:rFonts w:ascii="Times New Roman" w:hAnsi="Times New Roman" w:cs="Times New Roman"/>
          <w:sz w:val="27"/>
          <w:szCs w:val="27"/>
          <w:u w:val="single"/>
        </w:rPr>
      </w:pPr>
      <w:r w:rsidRPr="00821E08">
        <w:rPr>
          <w:rFonts w:ascii="Times New Roman" w:hAnsi="Times New Roman" w:cs="Times New Roman"/>
          <w:sz w:val="27"/>
          <w:szCs w:val="27"/>
          <w:u w:val="single"/>
        </w:rPr>
        <w:t xml:space="preserve">Основними цілями державного регулювання є: </w:t>
      </w:r>
    </w:p>
    <w:p w:rsidR="009F4852" w:rsidRPr="00821E08" w:rsidRDefault="0082244E" w:rsidP="0082244E">
      <w:pPr>
        <w:widowControl w:val="0"/>
        <w:tabs>
          <w:tab w:val="left" w:pos="567"/>
        </w:tabs>
        <w:spacing w:after="0" w:line="240" w:lineRule="auto"/>
        <w:jc w:val="both"/>
        <w:rPr>
          <w:rFonts w:ascii="Times New Roman" w:hAnsi="Times New Roman" w:cs="Times New Roman"/>
          <w:color w:val="000000"/>
          <w:spacing w:val="5"/>
          <w:sz w:val="27"/>
          <w:szCs w:val="27"/>
          <w:shd w:val="clear" w:color="auto" w:fill="FFFFFF"/>
          <w:lang w:eastAsia="uk-UA"/>
        </w:rPr>
      </w:pPr>
      <w:r w:rsidRPr="00821E08">
        <w:rPr>
          <w:rFonts w:ascii="Times New Roman" w:eastAsia="Calibri" w:hAnsi="Times New Roman" w:cs="Times New Roman"/>
          <w:color w:val="000000"/>
          <w:sz w:val="26"/>
          <w:szCs w:val="26"/>
        </w:rPr>
        <w:tab/>
      </w:r>
      <w:r w:rsidR="009F4852" w:rsidRPr="00821E08">
        <w:rPr>
          <w:rStyle w:val="1"/>
          <w:sz w:val="27"/>
          <w:szCs w:val="27"/>
        </w:rPr>
        <w:t xml:space="preserve">вирішення у правовому полі питання щодо </w:t>
      </w:r>
      <w:r w:rsidR="009F4852" w:rsidRPr="00821E08">
        <w:rPr>
          <w:rFonts w:ascii="Times New Roman" w:hAnsi="Times New Roman" w:cs="Times New Roman"/>
          <w:color w:val="000000"/>
          <w:spacing w:val="5"/>
          <w:sz w:val="27"/>
          <w:szCs w:val="27"/>
          <w:shd w:val="clear" w:color="auto" w:fill="FFFFFF"/>
          <w:lang w:eastAsia="uk-UA"/>
        </w:rPr>
        <w:t>складу, змісту, порядку складання, погодження та затвердження проєктів та кошторисів на проведення всіх видів геологорозвідувальних робіт, які виконуються за кошти державного бюджету</w:t>
      </w:r>
      <w:r w:rsidR="009F4852" w:rsidRPr="00821E08">
        <w:rPr>
          <w:rFonts w:ascii="Times New Roman" w:hAnsi="Times New Roman" w:cs="Times New Roman"/>
          <w:color w:val="000000"/>
          <w:spacing w:val="5"/>
          <w:sz w:val="27"/>
          <w:szCs w:val="27"/>
          <w:shd w:val="clear" w:color="auto" w:fill="FFFFFF"/>
          <w:lang w:eastAsia="uk-UA"/>
        </w:rPr>
        <w:t>;</w:t>
      </w:r>
    </w:p>
    <w:p w:rsidR="009F4852" w:rsidRPr="00821E08" w:rsidRDefault="009F4852" w:rsidP="0082244E">
      <w:pPr>
        <w:widowControl w:val="0"/>
        <w:tabs>
          <w:tab w:val="left" w:pos="567"/>
        </w:tabs>
        <w:spacing w:after="0" w:line="240" w:lineRule="auto"/>
        <w:jc w:val="both"/>
        <w:rPr>
          <w:rFonts w:ascii="Times New Roman" w:hAnsi="Times New Roman" w:cs="Times New Roman"/>
          <w:color w:val="000000"/>
          <w:spacing w:val="5"/>
          <w:sz w:val="27"/>
          <w:szCs w:val="27"/>
          <w:shd w:val="clear" w:color="auto" w:fill="FFFFFF"/>
          <w:lang w:eastAsia="uk-UA"/>
        </w:rPr>
      </w:pPr>
      <w:r w:rsidRPr="00821E08">
        <w:rPr>
          <w:rFonts w:ascii="Times New Roman" w:hAnsi="Times New Roman" w:cs="Times New Roman"/>
          <w:color w:val="000000"/>
          <w:spacing w:val="5"/>
          <w:sz w:val="27"/>
          <w:szCs w:val="27"/>
          <w:shd w:val="clear" w:color="auto" w:fill="FFFFFF"/>
          <w:lang w:eastAsia="uk-UA"/>
        </w:rPr>
        <w:tab/>
        <w:t>забезпечення єдиного підходу до проєктування та визначення кошторисної вартості геологорозвідувальних робіт, які виконуються за рахунок коштів державного бюджету на території України спеціалізованими суб’єктами господарювання незалежно від форм власності;</w:t>
      </w:r>
    </w:p>
    <w:p w:rsidR="009F4852" w:rsidRDefault="009F4852" w:rsidP="0082244E">
      <w:pPr>
        <w:widowControl w:val="0"/>
        <w:tabs>
          <w:tab w:val="left" w:pos="567"/>
        </w:tabs>
        <w:spacing w:after="0" w:line="240" w:lineRule="auto"/>
        <w:ind w:firstLine="567"/>
        <w:jc w:val="both"/>
        <w:rPr>
          <w:rFonts w:ascii="Times New Roman" w:hAnsi="Times New Roman" w:cs="Times New Roman"/>
          <w:color w:val="000000"/>
          <w:spacing w:val="5"/>
          <w:sz w:val="27"/>
          <w:szCs w:val="27"/>
          <w:shd w:val="clear" w:color="auto" w:fill="FFFFFF"/>
          <w:lang w:eastAsia="uk-UA"/>
        </w:rPr>
      </w:pPr>
      <w:r w:rsidRPr="00821E08">
        <w:rPr>
          <w:rFonts w:ascii="Times New Roman" w:hAnsi="Times New Roman" w:cs="Times New Roman"/>
          <w:color w:val="000000"/>
          <w:spacing w:val="5"/>
          <w:sz w:val="27"/>
          <w:szCs w:val="27"/>
          <w:shd w:val="clear" w:color="auto" w:fill="FFFFFF"/>
          <w:lang w:eastAsia="uk-UA"/>
        </w:rPr>
        <w:tab/>
        <w:t>реалізація цілей державної політики шляхом забезпечення нагальних потреб у мінеральних ресурсах без ризику позбавлення майбутніх поколінь у забезпеченні їх потреб.</w:t>
      </w:r>
    </w:p>
    <w:p w:rsidR="009F4852" w:rsidRDefault="009F4852" w:rsidP="00B20CCF">
      <w:pPr>
        <w:pStyle w:val="3"/>
        <w:spacing w:before="0" w:after="0"/>
        <w:ind w:firstLine="567"/>
        <w:rPr>
          <w:rFonts w:ascii="Times New Roman" w:hAnsi="Times New Roman" w:cs="Times New Roman"/>
          <w:sz w:val="27"/>
          <w:szCs w:val="27"/>
        </w:rPr>
      </w:pPr>
    </w:p>
    <w:p w:rsidR="00194175" w:rsidRPr="00593DEA" w:rsidRDefault="00194175" w:rsidP="00194175">
      <w:pPr>
        <w:pStyle w:val="22"/>
        <w:shd w:val="clear" w:color="auto" w:fill="auto"/>
        <w:tabs>
          <w:tab w:val="left" w:pos="0"/>
        </w:tabs>
        <w:spacing w:after="0" w:line="240" w:lineRule="auto"/>
        <w:ind w:firstLine="0"/>
        <w:jc w:val="center"/>
        <w:rPr>
          <w:rFonts w:ascii="Times New Roman" w:hAnsi="Times New Roman" w:cs="Times New Roman"/>
          <w:spacing w:val="0"/>
          <w:sz w:val="27"/>
          <w:szCs w:val="27"/>
        </w:rPr>
      </w:pPr>
      <w:bookmarkStart w:id="6" w:name="bookmark10"/>
      <w:r w:rsidRPr="00593DEA">
        <w:rPr>
          <w:rFonts w:ascii="Times New Roman" w:hAnsi="Times New Roman" w:cs="Times New Roman"/>
          <w:spacing w:val="0"/>
          <w:sz w:val="27"/>
          <w:szCs w:val="27"/>
        </w:rPr>
        <w:t>ІІІ. Визначення та оцінка альтернативних способів досягнення цілі</w:t>
      </w:r>
      <w:bookmarkEnd w:id="6"/>
    </w:p>
    <w:p w:rsidR="00194175" w:rsidRPr="00593DEA" w:rsidRDefault="00194175" w:rsidP="00194175">
      <w:pPr>
        <w:pStyle w:val="3"/>
        <w:shd w:val="clear" w:color="auto" w:fill="auto"/>
        <w:tabs>
          <w:tab w:val="left" w:pos="567"/>
        </w:tabs>
        <w:spacing w:before="0" w:after="0" w:line="240" w:lineRule="auto"/>
        <w:rPr>
          <w:rFonts w:ascii="Times New Roman" w:hAnsi="Times New Roman" w:cs="Times New Roman"/>
          <w:b/>
          <w:bCs/>
          <w:spacing w:val="0"/>
          <w:sz w:val="27"/>
          <w:szCs w:val="27"/>
        </w:rPr>
      </w:pPr>
    </w:p>
    <w:p w:rsidR="00194175" w:rsidRPr="00593DEA" w:rsidRDefault="00194175" w:rsidP="00194175">
      <w:pPr>
        <w:numPr>
          <w:ilvl w:val="0"/>
          <w:numId w:val="2"/>
        </w:numPr>
        <w:spacing w:after="0" w:line="240" w:lineRule="auto"/>
        <w:ind w:left="993" w:hanging="426"/>
        <w:rPr>
          <w:rFonts w:ascii="Times New Roman" w:hAnsi="Times New Roman" w:cs="Times New Roman"/>
          <w:sz w:val="27"/>
          <w:szCs w:val="27"/>
        </w:rPr>
      </w:pPr>
      <w:r w:rsidRPr="00593DEA">
        <w:rPr>
          <w:rFonts w:ascii="Times New Roman" w:hAnsi="Times New Roman" w:cs="Times New Roman"/>
          <w:sz w:val="27"/>
          <w:szCs w:val="27"/>
        </w:rPr>
        <w:t>Визначення альтернативних способів.</w:t>
      </w:r>
    </w:p>
    <w:p w:rsidR="00194175" w:rsidRPr="00593DEA" w:rsidRDefault="00194175" w:rsidP="00194175">
      <w:pPr>
        <w:spacing w:after="0" w:line="240" w:lineRule="auto"/>
        <w:jc w:val="both"/>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85"/>
      </w:tblGrid>
      <w:tr w:rsidR="00194175" w:rsidRPr="00593DEA" w:rsidTr="0050078D">
        <w:tc>
          <w:tcPr>
            <w:tcW w:w="4678" w:type="dxa"/>
            <w:shd w:val="clear" w:color="auto" w:fill="auto"/>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Вид альтернативи</w:t>
            </w:r>
          </w:p>
        </w:tc>
        <w:tc>
          <w:tcPr>
            <w:tcW w:w="4785" w:type="dxa"/>
            <w:shd w:val="clear" w:color="auto" w:fill="auto"/>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Опис альтернативи</w:t>
            </w:r>
          </w:p>
        </w:tc>
      </w:tr>
      <w:tr w:rsidR="00194175" w:rsidRPr="00593DEA" w:rsidTr="0050078D">
        <w:tc>
          <w:tcPr>
            <w:tcW w:w="4678" w:type="dxa"/>
            <w:shd w:val="clear" w:color="auto" w:fill="auto"/>
          </w:tcPr>
          <w:p w:rsidR="00194175" w:rsidRPr="00593DEA" w:rsidRDefault="009047C4" w:rsidP="009047C4">
            <w:pPr>
              <w:pStyle w:val="3"/>
              <w:shd w:val="clear" w:color="auto" w:fill="auto"/>
              <w:spacing w:before="0" w:after="0" w:line="240" w:lineRule="auto"/>
              <w:rPr>
                <w:rStyle w:val="1"/>
                <w:spacing w:val="0"/>
                <w:sz w:val="27"/>
                <w:szCs w:val="27"/>
              </w:rPr>
            </w:pPr>
            <w:r>
              <w:rPr>
                <w:rStyle w:val="1"/>
                <w:spacing w:val="0"/>
                <w:sz w:val="27"/>
                <w:szCs w:val="27"/>
              </w:rPr>
              <w:t xml:space="preserve">Альтернатива 1. </w:t>
            </w:r>
            <w:r w:rsidR="00194175" w:rsidRPr="00593DEA">
              <w:rPr>
                <w:rStyle w:val="1"/>
                <w:spacing w:val="0"/>
                <w:sz w:val="27"/>
                <w:szCs w:val="27"/>
              </w:rPr>
              <w:t>Залишення чинного регулювання</w:t>
            </w:r>
          </w:p>
        </w:tc>
        <w:tc>
          <w:tcPr>
            <w:tcW w:w="4785" w:type="dxa"/>
            <w:shd w:val="clear" w:color="auto" w:fill="auto"/>
          </w:tcPr>
          <w:p w:rsidR="009F4852" w:rsidRPr="001F06CB" w:rsidRDefault="001F06CB" w:rsidP="00DA18AB">
            <w:pPr>
              <w:pStyle w:val="3"/>
              <w:shd w:val="clear" w:color="auto" w:fill="auto"/>
              <w:spacing w:before="0" w:after="0" w:line="240" w:lineRule="auto"/>
              <w:rPr>
                <w:rStyle w:val="1"/>
                <w:spacing w:val="0"/>
                <w:sz w:val="27"/>
                <w:szCs w:val="27"/>
              </w:rPr>
            </w:pPr>
            <w:r w:rsidRPr="001F06CB">
              <w:rPr>
                <w:rStyle w:val="1"/>
                <w:spacing w:val="0"/>
                <w:sz w:val="27"/>
                <w:szCs w:val="27"/>
              </w:rPr>
              <w:t>Застос</w:t>
            </w:r>
            <w:r w:rsidRPr="001F06CB">
              <w:rPr>
                <w:rStyle w:val="1"/>
                <w:spacing w:val="0"/>
                <w:sz w:val="27"/>
                <w:szCs w:val="27"/>
                <w:lang w:val="en-US"/>
              </w:rPr>
              <w:t xml:space="preserve">ована термінологія </w:t>
            </w:r>
            <w:r w:rsidRPr="001F06CB">
              <w:rPr>
                <w:rStyle w:val="1"/>
                <w:spacing w:val="0"/>
                <w:sz w:val="27"/>
                <w:szCs w:val="27"/>
              </w:rPr>
              <w:t xml:space="preserve"> </w:t>
            </w:r>
            <w:r w:rsidR="009047C4" w:rsidRPr="001F06CB">
              <w:rPr>
                <w:rStyle w:val="1"/>
                <w:spacing w:val="0"/>
                <w:sz w:val="27"/>
                <w:szCs w:val="27"/>
              </w:rPr>
              <w:t>наказу Міністерства геології СРСР від 14 березня 1985 року № 121</w:t>
            </w:r>
            <w:r w:rsidRPr="001F06CB">
              <w:rPr>
                <w:rStyle w:val="1"/>
                <w:spacing w:val="0"/>
                <w:sz w:val="27"/>
                <w:szCs w:val="27"/>
                <w:lang w:val="en-US"/>
              </w:rPr>
              <w:t xml:space="preserve"> та підходи до регламентування складання проєктів та кошторисів на геологорозвідувальні роботи є застарілими, неактуальними та концептуально несумісними із законодавством України.</w:t>
            </w:r>
          </w:p>
        </w:tc>
      </w:tr>
      <w:tr w:rsidR="00194175" w:rsidRPr="00593DEA" w:rsidTr="0050078D">
        <w:tc>
          <w:tcPr>
            <w:tcW w:w="4678" w:type="dxa"/>
            <w:shd w:val="clear" w:color="auto" w:fill="auto"/>
          </w:tcPr>
          <w:p w:rsidR="00194175" w:rsidRPr="00593DEA" w:rsidRDefault="009047C4" w:rsidP="009047C4">
            <w:pPr>
              <w:pStyle w:val="3"/>
              <w:shd w:val="clear" w:color="auto" w:fill="auto"/>
              <w:spacing w:before="0" w:after="0" w:line="240" w:lineRule="auto"/>
              <w:rPr>
                <w:rStyle w:val="1"/>
                <w:spacing w:val="0"/>
                <w:sz w:val="27"/>
                <w:szCs w:val="27"/>
              </w:rPr>
            </w:pPr>
            <w:r w:rsidRPr="009047C4">
              <w:rPr>
                <w:rStyle w:val="1"/>
                <w:spacing w:val="0"/>
                <w:sz w:val="27"/>
                <w:szCs w:val="27"/>
              </w:rPr>
              <w:t>Альтернатива 2</w:t>
            </w:r>
            <w:r>
              <w:rPr>
                <w:rStyle w:val="1"/>
                <w:spacing w:val="0"/>
                <w:sz w:val="27"/>
                <w:szCs w:val="27"/>
              </w:rPr>
              <w:t xml:space="preserve">. </w:t>
            </w:r>
            <w:r w:rsidR="00194175" w:rsidRPr="00593DEA">
              <w:rPr>
                <w:rStyle w:val="1"/>
                <w:spacing w:val="0"/>
                <w:sz w:val="27"/>
                <w:szCs w:val="27"/>
              </w:rPr>
              <w:t xml:space="preserve">Прийняття </w:t>
            </w:r>
            <w:r w:rsidR="00194175" w:rsidRPr="00593DEA">
              <w:rPr>
                <w:rFonts w:ascii="Times New Roman" w:hAnsi="Times New Roman" w:cs="Times New Roman"/>
                <w:spacing w:val="0"/>
                <w:sz w:val="27"/>
                <w:szCs w:val="27"/>
              </w:rPr>
              <w:t xml:space="preserve">проєкту наказу Міністерства захисту довкілля та природних ресурсів України «Про </w:t>
            </w:r>
            <w:r w:rsidR="00777B5C" w:rsidRPr="00593DEA">
              <w:rPr>
                <w:rFonts w:ascii="Times New Roman" w:hAnsi="Times New Roman" w:cs="Times New Roman"/>
                <w:spacing w:val="0"/>
                <w:sz w:val="27"/>
                <w:szCs w:val="27"/>
              </w:rPr>
              <w:t>затвердження</w:t>
            </w:r>
            <w:r w:rsidR="00194175" w:rsidRPr="00593DEA">
              <w:rPr>
                <w:rFonts w:ascii="Times New Roman" w:hAnsi="Times New Roman" w:cs="Times New Roman"/>
                <w:spacing w:val="0"/>
                <w:sz w:val="27"/>
                <w:szCs w:val="27"/>
              </w:rPr>
              <w:t xml:space="preserve"> </w:t>
            </w:r>
            <w:r w:rsidRPr="009047C4">
              <w:rPr>
                <w:rFonts w:ascii="Times New Roman" w:hAnsi="Times New Roman" w:cs="Times New Roman"/>
                <w:spacing w:val="0"/>
                <w:sz w:val="27"/>
                <w:szCs w:val="27"/>
              </w:rPr>
              <w:t>Інструкції зі складання проєктів та кошторисів на проведення геологорозвідувальних робіт</w:t>
            </w:r>
            <w:r>
              <w:rPr>
                <w:rFonts w:ascii="Times New Roman" w:hAnsi="Times New Roman" w:cs="Times New Roman"/>
                <w:spacing w:val="0"/>
                <w:sz w:val="27"/>
                <w:szCs w:val="27"/>
              </w:rPr>
              <w:t>»</w:t>
            </w:r>
          </w:p>
        </w:tc>
        <w:tc>
          <w:tcPr>
            <w:tcW w:w="4785" w:type="dxa"/>
            <w:shd w:val="clear" w:color="auto" w:fill="auto"/>
          </w:tcPr>
          <w:p w:rsidR="009F4852" w:rsidRPr="00593DEA" w:rsidRDefault="00194175" w:rsidP="00DA18AB">
            <w:pPr>
              <w:spacing w:after="0" w:line="240" w:lineRule="auto"/>
              <w:jc w:val="both"/>
              <w:rPr>
                <w:rStyle w:val="1"/>
                <w:sz w:val="27"/>
                <w:szCs w:val="27"/>
              </w:rPr>
            </w:pPr>
            <w:r w:rsidRPr="00593DEA">
              <w:rPr>
                <w:rStyle w:val="1"/>
                <w:sz w:val="27"/>
                <w:szCs w:val="27"/>
              </w:rPr>
              <w:t xml:space="preserve">Прийняття проєкту акта призведе до вирішення у правовому полі питання щодо </w:t>
            </w:r>
            <w:r w:rsidR="004A2373" w:rsidRPr="004A2373">
              <w:rPr>
                <w:rFonts w:ascii="Times New Roman" w:hAnsi="Times New Roman" w:cs="Times New Roman"/>
                <w:color w:val="000000"/>
                <w:spacing w:val="5"/>
                <w:sz w:val="27"/>
                <w:szCs w:val="27"/>
                <w:shd w:val="clear" w:color="auto" w:fill="FFFFFF"/>
                <w:lang w:eastAsia="uk-UA"/>
              </w:rPr>
              <w:t>складу, змісту, порядку складання, погодження та затвердження проєктів та кошторисів на проведення всіх видів геологорозвідувальних робіт, які виконуються за кошти державного бюджету</w:t>
            </w:r>
            <w:r w:rsidRPr="00593DEA">
              <w:rPr>
                <w:rStyle w:val="1"/>
                <w:sz w:val="27"/>
                <w:szCs w:val="27"/>
              </w:rPr>
              <w:t>.</w:t>
            </w:r>
          </w:p>
        </w:tc>
      </w:tr>
      <w:tr w:rsidR="009047C4" w:rsidRPr="00593DEA" w:rsidTr="0050078D">
        <w:tc>
          <w:tcPr>
            <w:tcW w:w="4678" w:type="dxa"/>
            <w:shd w:val="clear" w:color="auto" w:fill="auto"/>
          </w:tcPr>
          <w:p w:rsidR="009047C4" w:rsidRPr="009047C4" w:rsidRDefault="009047C4" w:rsidP="009047C4">
            <w:pPr>
              <w:pStyle w:val="3"/>
              <w:shd w:val="clear" w:color="auto" w:fill="auto"/>
              <w:spacing w:before="0" w:after="0" w:line="240" w:lineRule="auto"/>
              <w:rPr>
                <w:rStyle w:val="1"/>
                <w:spacing w:val="0"/>
                <w:sz w:val="27"/>
                <w:szCs w:val="27"/>
              </w:rPr>
            </w:pPr>
            <w:r>
              <w:rPr>
                <w:rStyle w:val="1"/>
                <w:spacing w:val="0"/>
                <w:sz w:val="27"/>
                <w:szCs w:val="27"/>
              </w:rPr>
              <w:t xml:space="preserve">Альтернатива 3. Видання внутрішнього </w:t>
            </w:r>
            <w:r w:rsidRPr="004A2373">
              <w:rPr>
                <w:rStyle w:val="1"/>
                <w:spacing w:val="0"/>
                <w:sz w:val="27"/>
                <w:szCs w:val="27"/>
              </w:rPr>
              <w:t>нормативного документа</w:t>
            </w:r>
          </w:p>
        </w:tc>
        <w:tc>
          <w:tcPr>
            <w:tcW w:w="4785" w:type="dxa"/>
            <w:shd w:val="clear" w:color="auto" w:fill="auto"/>
          </w:tcPr>
          <w:p w:rsidR="009047C4" w:rsidRPr="004A2373" w:rsidRDefault="009047C4" w:rsidP="004A2373">
            <w:pPr>
              <w:spacing w:after="0" w:line="240" w:lineRule="auto"/>
              <w:jc w:val="both"/>
              <w:rPr>
                <w:rStyle w:val="1"/>
                <w:spacing w:val="0"/>
                <w:sz w:val="27"/>
                <w:szCs w:val="27"/>
              </w:rPr>
            </w:pPr>
            <w:r w:rsidRPr="004A2373">
              <w:rPr>
                <w:rStyle w:val="1"/>
                <w:spacing w:val="0"/>
                <w:sz w:val="27"/>
                <w:szCs w:val="27"/>
              </w:rPr>
              <w:t xml:space="preserve">Регламентування </w:t>
            </w:r>
            <w:r w:rsidR="004A2373">
              <w:rPr>
                <w:rStyle w:val="1"/>
                <w:spacing w:val="0"/>
                <w:sz w:val="27"/>
                <w:szCs w:val="27"/>
              </w:rPr>
              <w:t xml:space="preserve">складання проєктів та кошторисів на проведення геологорозвідувальних робіт </w:t>
            </w:r>
            <w:r w:rsidRPr="004A2373">
              <w:rPr>
                <w:rStyle w:val="1"/>
                <w:spacing w:val="0"/>
                <w:sz w:val="27"/>
                <w:szCs w:val="27"/>
              </w:rPr>
              <w:t xml:space="preserve">внутрішнім нормативним документом не узгодить між собою норми законодавства та не відповідатиме вимогам </w:t>
            </w:r>
            <w:r w:rsidR="004A2373">
              <w:rPr>
                <w:rStyle w:val="1"/>
                <w:spacing w:val="0"/>
                <w:sz w:val="27"/>
                <w:szCs w:val="27"/>
              </w:rPr>
              <w:t xml:space="preserve">постанов Кабінету Міністрів України </w:t>
            </w:r>
            <w:r w:rsidR="004A2373" w:rsidRPr="004A2373">
              <w:rPr>
                <w:rFonts w:ascii="Times New Roman" w:hAnsi="Times New Roman" w:cs="Times New Roman"/>
                <w:color w:val="000000"/>
                <w:sz w:val="27"/>
                <w:szCs w:val="27"/>
                <w:shd w:val="clear" w:color="auto" w:fill="FFFFFF"/>
                <w:lang w:eastAsia="uk-UA"/>
              </w:rPr>
              <w:t>від 28 лютого 2011 року № 301 та від 25 січня 1999 року № 83.</w:t>
            </w:r>
          </w:p>
        </w:tc>
      </w:tr>
    </w:tbl>
    <w:p w:rsidR="00194175" w:rsidRPr="00593DEA" w:rsidRDefault="00194175" w:rsidP="00194175">
      <w:pPr>
        <w:numPr>
          <w:ilvl w:val="0"/>
          <w:numId w:val="2"/>
        </w:numPr>
        <w:spacing w:after="0" w:line="240" w:lineRule="auto"/>
        <w:ind w:left="993" w:hanging="426"/>
        <w:rPr>
          <w:rFonts w:ascii="Times New Roman" w:hAnsi="Times New Roman" w:cs="Times New Roman"/>
          <w:sz w:val="27"/>
          <w:szCs w:val="27"/>
        </w:rPr>
      </w:pPr>
      <w:r w:rsidRPr="00593DEA">
        <w:rPr>
          <w:rFonts w:ascii="Times New Roman" w:hAnsi="Times New Roman" w:cs="Times New Roman"/>
          <w:sz w:val="27"/>
          <w:szCs w:val="27"/>
        </w:rPr>
        <w:lastRenderedPageBreak/>
        <w:t>Оцінка вибраних альтернативних способів досягнення цілей.</w:t>
      </w:r>
    </w:p>
    <w:p w:rsidR="009F4852" w:rsidRDefault="009F4852" w:rsidP="00194175">
      <w:pPr>
        <w:spacing w:after="0" w:line="240" w:lineRule="auto"/>
        <w:ind w:firstLine="567"/>
        <w:jc w:val="both"/>
        <w:rPr>
          <w:rFonts w:ascii="Times New Roman" w:hAnsi="Times New Roman" w:cs="Times New Roman"/>
          <w:sz w:val="27"/>
          <w:szCs w:val="27"/>
        </w:rPr>
      </w:pPr>
    </w:p>
    <w:p w:rsidR="00194175" w:rsidRPr="00593DEA" w:rsidRDefault="00194175" w:rsidP="00194175">
      <w:pPr>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Оцінка впливу на сферу інтересів держави.</w:t>
      </w:r>
    </w:p>
    <w:p w:rsidR="00194175" w:rsidRPr="00593DEA" w:rsidRDefault="00194175" w:rsidP="00194175">
      <w:pPr>
        <w:spacing w:after="0" w:line="240" w:lineRule="auto"/>
        <w:ind w:firstLine="567"/>
        <w:jc w:val="both"/>
        <w:rPr>
          <w:rFonts w:ascii="Times New Roman" w:hAnsi="Times New Roman" w:cs="Times New Roman"/>
          <w:sz w:val="27"/>
          <w:szCs w:val="2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977"/>
        <w:gridCol w:w="3841"/>
      </w:tblGrid>
      <w:tr w:rsidR="00194175" w:rsidRPr="00593DEA" w:rsidTr="00331AAE">
        <w:tc>
          <w:tcPr>
            <w:tcW w:w="2722" w:type="dxa"/>
            <w:shd w:val="clear" w:color="auto" w:fill="auto"/>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Вид альтернативи</w:t>
            </w:r>
          </w:p>
        </w:tc>
        <w:tc>
          <w:tcPr>
            <w:tcW w:w="2977" w:type="dxa"/>
            <w:shd w:val="clear" w:color="auto" w:fill="auto"/>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Вигоди</w:t>
            </w:r>
          </w:p>
        </w:tc>
        <w:tc>
          <w:tcPr>
            <w:tcW w:w="3841" w:type="dxa"/>
            <w:shd w:val="clear" w:color="auto" w:fill="auto"/>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Витрати</w:t>
            </w:r>
          </w:p>
        </w:tc>
      </w:tr>
      <w:tr w:rsidR="00194175" w:rsidRPr="00593DEA" w:rsidTr="00331AAE">
        <w:tc>
          <w:tcPr>
            <w:tcW w:w="2722" w:type="dxa"/>
            <w:shd w:val="clear" w:color="auto" w:fill="auto"/>
            <w:vAlign w:val="center"/>
          </w:tcPr>
          <w:p w:rsidR="00194175" w:rsidRPr="00593DEA" w:rsidRDefault="00194175" w:rsidP="0050078D">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1</w:t>
            </w:r>
          </w:p>
        </w:tc>
        <w:tc>
          <w:tcPr>
            <w:tcW w:w="2977" w:type="dxa"/>
            <w:shd w:val="clear" w:color="auto" w:fill="auto"/>
            <w:vAlign w:val="center"/>
          </w:tcPr>
          <w:p w:rsidR="00194175" w:rsidRPr="00593DEA" w:rsidRDefault="00194175" w:rsidP="0050078D">
            <w:pPr>
              <w:spacing w:after="0" w:line="240" w:lineRule="auto"/>
              <w:jc w:val="center"/>
              <w:rPr>
                <w:rStyle w:val="1"/>
                <w:sz w:val="27"/>
                <w:szCs w:val="27"/>
              </w:rPr>
            </w:pPr>
            <w:r w:rsidRPr="00593DEA">
              <w:rPr>
                <w:rStyle w:val="1"/>
                <w:sz w:val="27"/>
                <w:szCs w:val="27"/>
              </w:rPr>
              <w:t>Відсутні</w:t>
            </w:r>
          </w:p>
        </w:tc>
        <w:tc>
          <w:tcPr>
            <w:tcW w:w="3841" w:type="dxa"/>
            <w:shd w:val="clear" w:color="auto" w:fill="auto"/>
            <w:vAlign w:val="center"/>
          </w:tcPr>
          <w:p w:rsidR="00194175" w:rsidRDefault="00194175" w:rsidP="002723FF">
            <w:pPr>
              <w:spacing w:after="0" w:line="240" w:lineRule="auto"/>
              <w:jc w:val="both"/>
              <w:rPr>
                <w:rFonts w:ascii="Times New Roman" w:hAnsi="Times New Roman" w:cs="Times New Roman"/>
                <w:sz w:val="27"/>
                <w:szCs w:val="27"/>
                <w:shd w:val="clear" w:color="auto" w:fill="FFFFFF"/>
                <w:lang w:eastAsia="uk-UA"/>
              </w:rPr>
            </w:pPr>
            <w:r w:rsidRPr="00593DEA">
              <w:rPr>
                <w:rStyle w:val="1"/>
                <w:sz w:val="27"/>
                <w:szCs w:val="27"/>
              </w:rPr>
              <w:t>Залишається законодавч</w:t>
            </w:r>
            <w:r w:rsidR="00697420" w:rsidRPr="00593DEA">
              <w:rPr>
                <w:rStyle w:val="1"/>
                <w:sz w:val="27"/>
                <w:szCs w:val="27"/>
              </w:rPr>
              <w:t>а</w:t>
            </w:r>
            <w:r w:rsidRPr="00593DEA">
              <w:rPr>
                <w:rStyle w:val="1"/>
                <w:sz w:val="27"/>
                <w:szCs w:val="27"/>
              </w:rPr>
              <w:t xml:space="preserve"> неврегульованість та не</w:t>
            </w:r>
            <w:r w:rsidRPr="00593DEA">
              <w:rPr>
                <w:rFonts w:ascii="Times New Roman" w:hAnsi="Times New Roman" w:cs="Times New Roman"/>
                <w:sz w:val="27"/>
                <w:szCs w:val="27"/>
                <w:shd w:val="clear" w:color="auto" w:fill="FFFFFF"/>
                <w:lang w:eastAsia="uk-UA"/>
              </w:rPr>
              <w:t>виконання вимог</w:t>
            </w:r>
            <w:r w:rsidR="004A2373">
              <w:rPr>
                <w:rFonts w:ascii="Times New Roman" w:hAnsi="Times New Roman" w:cs="Times New Roman"/>
                <w:sz w:val="27"/>
                <w:szCs w:val="27"/>
                <w:shd w:val="clear" w:color="auto" w:fill="FFFFFF"/>
                <w:lang w:eastAsia="uk-UA"/>
              </w:rPr>
              <w:t xml:space="preserve"> постанов Кабінету Міністрів України</w:t>
            </w:r>
            <w:r w:rsidRPr="00593DEA">
              <w:rPr>
                <w:rFonts w:ascii="Times New Roman" w:hAnsi="Times New Roman" w:cs="Times New Roman"/>
                <w:sz w:val="27"/>
                <w:szCs w:val="27"/>
                <w:shd w:val="clear" w:color="auto" w:fill="FFFFFF"/>
                <w:lang w:eastAsia="uk-UA"/>
              </w:rPr>
              <w:t xml:space="preserve"> </w:t>
            </w:r>
            <w:r w:rsidR="004A2373" w:rsidRPr="004A2373">
              <w:rPr>
                <w:rFonts w:ascii="Times New Roman" w:hAnsi="Times New Roman" w:cs="Times New Roman"/>
                <w:sz w:val="27"/>
                <w:szCs w:val="27"/>
                <w:shd w:val="clear" w:color="auto" w:fill="FFFFFF"/>
                <w:lang w:eastAsia="uk-UA"/>
              </w:rPr>
              <w:t>від 28 лютого 2011 року № 301 та від 25 січня 1999 року № 83.</w:t>
            </w:r>
          </w:p>
          <w:p w:rsidR="00DA18AB" w:rsidRPr="00593DEA" w:rsidRDefault="00DA18AB" w:rsidP="002723FF">
            <w:pPr>
              <w:spacing w:after="0" w:line="240" w:lineRule="auto"/>
              <w:jc w:val="both"/>
              <w:rPr>
                <w:rStyle w:val="1"/>
                <w:sz w:val="27"/>
                <w:szCs w:val="27"/>
              </w:rPr>
            </w:pPr>
          </w:p>
        </w:tc>
      </w:tr>
      <w:tr w:rsidR="00194175" w:rsidRPr="00593DEA" w:rsidTr="00331AAE">
        <w:tc>
          <w:tcPr>
            <w:tcW w:w="2722" w:type="dxa"/>
            <w:shd w:val="clear" w:color="auto" w:fill="auto"/>
            <w:vAlign w:val="center"/>
          </w:tcPr>
          <w:p w:rsidR="00194175" w:rsidRPr="00593DEA" w:rsidRDefault="00194175" w:rsidP="0050078D">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2</w:t>
            </w:r>
          </w:p>
        </w:tc>
        <w:tc>
          <w:tcPr>
            <w:tcW w:w="2977" w:type="dxa"/>
            <w:shd w:val="clear" w:color="auto" w:fill="auto"/>
            <w:vAlign w:val="center"/>
          </w:tcPr>
          <w:p w:rsidR="00194175" w:rsidRDefault="00194175" w:rsidP="004A2373">
            <w:pPr>
              <w:pStyle w:val="3"/>
              <w:shd w:val="clear" w:color="auto" w:fill="auto"/>
              <w:spacing w:before="0" w:after="0" w:line="240" w:lineRule="auto"/>
              <w:rPr>
                <w:rFonts w:ascii="Times New Roman" w:hAnsi="Times New Roman" w:cs="Times New Roman"/>
                <w:color w:val="000000"/>
                <w:spacing w:val="0"/>
                <w:sz w:val="27"/>
                <w:szCs w:val="27"/>
                <w:lang w:eastAsia="uk-UA"/>
              </w:rPr>
            </w:pPr>
            <w:r w:rsidRPr="00593DEA">
              <w:rPr>
                <w:rStyle w:val="1"/>
                <w:spacing w:val="0"/>
                <w:sz w:val="27"/>
                <w:szCs w:val="27"/>
              </w:rPr>
              <w:t xml:space="preserve">Прийняття проєкту акта призведе до вирішення у правовому полі питання щодо </w:t>
            </w:r>
            <w:r w:rsidR="004A2373" w:rsidRPr="004A2373">
              <w:rPr>
                <w:rFonts w:ascii="Times New Roman" w:hAnsi="Times New Roman" w:cs="Times New Roman"/>
                <w:color w:val="000000"/>
                <w:spacing w:val="0"/>
                <w:sz w:val="27"/>
                <w:szCs w:val="27"/>
                <w:lang w:eastAsia="uk-UA"/>
              </w:rPr>
              <w:t>складу, змісту, порядку складання, погодження та затвердження проєктів та кошторисів на проведення всіх видів геологорозвідувальних робіт, які виконуються за кошти державного бюджету.</w:t>
            </w:r>
          </w:p>
          <w:p w:rsidR="00DA18AB" w:rsidRPr="00593DEA" w:rsidRDefault="00DA18AB" w:rsidP="004A2373">
            <w:pPr>
              <w:pStyle w:val="3"/>
              <w:shd w:val="clear" w:color="auto" w:fill="auto"/>
              <w:spacing w:before="0" w:after="0" w:line="240" w:lineRule="auto"/>
              <w:rPr>
                <w:rStyle w:val="1"/>
                <w:spacing w:val="0"/>
                <w:sz w:val="27"/>
                <w:szCs w:val="27"/>
              </w:rPr>
            </w:pPr>
          </w:p>
        </w:tc>
        <w:tc>
          <w:tcPr>
            <w:tcW w:w="3841" w:type="dxa"/>
            <w:shd w:val="clear" w:color="auto" w:fill="auto"/>
            <w:vAlign w:val="center"/>
          </w:tcPr>
          <w:p w:rsidR="00194175" w:rsidRPr="00593DEA" w:rsidRDefault="00194175" w:rsidP="0050078D">
            <w:pPr>
              <w:spacing w:after="0" w:line="240" w:lineRule="auto"/>
              <w:jc w:val="center"/>
              <w:rPr>
                <w:rStyle w:val="1"/>
                <w:sz w:val="27"/>
                <w:szCs w:val="27"/>
              </w:rPr>
            </w:pPr>
            <w:r w:rsidRPr="00593DEA">
              <w:rPr>
                <w:rStyle w:val="1"/>
                <w:sz w:val="27"/>
                <w:szCs w:val="27"/>
              </w:rPr>
              <w:t>Відсутні.</w:t>
            </w:r>
          </w:p>
        </w:tc>
      </w:tr>
      <w:tr w:rsidR="004A2373" w:rsidRPr="00593DEA" w:rsidTr="00331AAE">
        <w:tc>
          <w:tcPr>
            <w:tcW w:w="2722" w:type="dxa"/>
            <w:shd w:val="clear" w:color="auto" w:fill="auto"/>
            <w:vAlign w:val="center"/>
          </w:tcPr>
          <w:p w:rsidR="004A2373" w:rsidRPr="00593DEA" w:rsidRDefault="004A2373" w:rsidP="004A2373">
            <w:pPr>
              <w:pStyle w:val="3"/>
              <w:shd w:val="clear" w:color="auto" w:fill="auto"/>
              <w:spacing w:before="0" w:after="0" w:line="240" w:lineRule="auto"/>
              <w:jc w:val="center"/>
              <w:rPr>
                <w:rStyle w:val="1"/>
                <w:spacing w:val="0"/>
                <w:sz w:val="27"/>
                <w:szCs w:val="27"/>
              </w:rPr>
            </w:pPr>
            <w:r>
              <w:rPr>
                <w:rStyle w:val="1"/>
                <w:spacing w:val="0"/>
                <w:sz w:val="27"/>
                <w:szCs w:val="27"/>
              </w:rPr>
              <w:t>Альтернатива 3</w:t>
            </w:r>
          </w:p>
        </w:tc>
        <w:tc>
          <w:tcPr>
            <w:tcW w:w="2977" w:type="dxa"/>
            <w:shd w:val="clear" w:color="auto" w:fill="auto"/>
            <w:vAlign w:val="center"/>
          </w:tcPr>
          <w:p w:rsidR="004A2373" w:rsidRPr="00593DEA" w:rsidRDefault="004A2373" w:rsidP="004A2373">
            <w:pPr>
              <w:spacing w:after="0" w:line="240" w:lineRule="auto"/>
              <w:jc w:val="center"/>
              <w:rPr>
                <w:rStyle w:val="1"/>
                <w:sz w:val="27"/>
                <w:szCs w:val="27"/>
              </w:rPr>
            </w:pPr>
            <w:r w:rsidRPr="00593DEA">
              <w:rPr>
                <w:rStyle w:val="1"/>
                <w:sz w:val="27"/>
                <w:szCs w:val="27"/>
              </w:rPr>
              <w:t>Відсутні</w:t>
            </w:r>
          </w:p>
        </w:tc>
        <w:tc>
          <w:tcPr>
            <w:tcW w:w="3841" w:type="dxa"/>
            <w:shd w:val="clear" w:color="auto" w:fill="auto"/>
            <w:vAlign w:val="center"/>
          </w:tcPr>
          <w:p w:rsidR="004A2373" w:rsidRDefault="004A2373" w:rsidP="00331AAE">
            <w:pPr>
              <w:spacing w:after="0" w:line="240" w:lineRule="auto"/>
              <w:jc w:val="both"/>
              <w:rPr>
                <w:rFonts w:ascii="Times New Roman" w:hAnsi="Times New Roman" w:cs="Times New Roman"/>
                <w:sz w:val="27"/>
                <w:szCs w:val="27"/>
                <w:shd w:val="clear" w:color="auto" w:fill="FFFFFF"/>
                <w:lang w:eastAsia="uk-UA"/>
              </w:rPr>
            </w:pPr>
            <w:r w:rsidRPr="00593DEA">
              <w:rPr>
                <w:rStyle w:val="1"/>
                <w:sz w:val="27"/>
                <w:szCs w:val="27"/>
              </w:rPr>
              <w:t>Залишається законодавча неврегульованість та не</w:t>
            </w:r>
            <w:r w:rsidRPr="00593DEA">
              <w:rPr>
                <w:rFonts w:ascii="Times New Roman" w:hAnsi="Times New Roman" w:cs="Times New Roman"/>
                <w:sz w:val="27"/>
                <w:szCs w:val="27"/>
                <w:shd w:val="clear" w:color="auto" w:fill="FFFFFF"/>
                <w:lang w:eastAsia="uk-UA"/>
              </w:rPr>
              <w:t>виконання вимог</w:t>
            </w:r>
            <w:r>
              <w:rPr>
                <w:rFonts w:ascii="Times New Roman" w:hAnsi="Times New Roman" w:cs="Times New Roman"/>
                <w:sz w:val="27"/>
                <w:szCs w:val="27"/>
                <w:shd w:val="clear" w:color="auto" w:fill="FFFFFF"/>
                <w:lang w:eastAsia="uk-UA"/>
              </w:rPr>
              <w:t xml:space="preserve"> постанов Кабінету Міністрів України</w:t>
            </w:r>
            <w:r w:rsidRPr="00593DEA">
              <w:rPr>
                <w:rFonts w:ascii="Times New Roman" w:hAnsi="Times New Roman" w:cs="Times New Roman"/>
                <w:sz w:val="27"/>
                <w:szCs w:val="27"/>
                <w:shd w:val="clear" w:color="auto" w:fill="FFFFFF"/>
                <w:lang w:eastAsia="uk-UA"/>
              </w:rPr>
              <w:t xml:space="preserve"> </w:t>
            </w:r>
            <w:r w:rsidRPr="004A2373">
              <w:rPr>
                <w:rFonts w:ascii="Times New Roman" w:hAnsi="Times New Roman" w:cs="Times New Roman"/>
                <w:sz w:val="27"/>
                <w:szCs w:val="27"/>
                <w:shd w:val="clear" w:color="auto" w:fill="FFFFFF"/>
                <w:lang w:eastAsia="uk-UA"/>
              </w:rPr>
              <w:t>від 28 лютого 2011 року № 301 та від 25 січня 1999 року № 83.</w:t>
            </w:r>
          </w:p>
          <w:p w:rsidR="00DA18AB" w:rsidRPr="00593DEA" w:rsidRDefault="00DA18AB" w:rsidP="00331AAE">
            <w:pPr>
              <w:spacing w:after="0" w:line="240" w:lineRule="auto"/>
              <w:jc w:val="both"/>
              <w:rPr>
                <w:rStyle w:val="1"/>
                <w:sz w:val="27"/>
                <w:szCs w:val="27"/>
              </w:rPr>
            </w:pPr>
          </w:p>
        </w:tc>
      </w:tr>
    </w:tbl>
    <w:p w:rsidR="005E37FF" w:rsidRDefault="005E37FF" w:rsidP="00194175">
      <w:pPr>
        <w:spacing w:after="0" w:line="240" w:lineRule="auto"/>
        <w:jc w:val="both"/>
        <w:rPr>
          <w:rFonts w:ascii="Times New Roman" w:hAnsi="Times New Roman" w:cs="Times New Roman"/>
          <w:sz w:val="27"/>
          <w:szCs w:val="27"/>
        </w:rPr>
      </w:pPr>
    </w:p>
    <w:p w:rsidR="005E37FF" w:rsidRPr="005E37FF" w:rsidRDefault="005E37FF" w:rsidP="005E37FF">
      <w:pPr>
        <w:spacing w:after="0" w:line="240" w:lineRule="auto"/>
        <w:ind w:firstLine="567"/>
        <w:jc w:val="both"/>
        <w:rPr>
          <w:rFonts w:ascii="Times New Roman" w:hAnsi="Times New Roman" w:cs="Times New Roman"/>
          <w:sz w:val="27"/>
          <w:szCs w:val="27"/>
        </w:rPr>
      </w:pPr>
      <w:r w:rsidRPr="005E37FF">
        <w:rPr>
          <w:rFonts w:ascii="Times New Roman" w:hAnsi="Times New Roman" w:cs="Times New Roman"/>
          <w:sz w:val="27"/>
          <w:szCs w:val="27"/>
        </w:rPr>
        <w:t>Оцінка впливу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91"/>
        <w:gridCol w:w="3690"/>
      </w:tblGrid>
      <w:tr w:rsidR="005E37FF" w:rsidRPr="005E37FF" w:rsidTr="005E37FF">
        <w:tc>
          <w:tcPr>
            <w:tcW w:w="2689" w:type="dxa"/>
          </w:tcPr>
          <w:p w:rsidR="005E37FF" w:rsidRPr="005E37FF" w:rsidRDefault="005E37FF" w:rsidP="005E37FF">
            <w:pPr>
              <w:spacing w:after="0" w:line="240" w:lineRule="auto"/>
              <w:jc w:val="center"/>
              <w:rPr>
                <w:rFonts w:ascii="Times New Roman" w:hAnsi="Times New Roman" w:cs="Times New Roman"/>
                <w:b/>
                <w:sz w:val="27"/>
                <w:szCs w:val="27"/>
              </w:rPr>
            </w:pPr>
            <w:r w:rsidRPr="005E37FF">
              <w:rPr>
                <w:rFonts w:ascii="Times New Roman" w:hAnsi="Times New Roman" w:cs="Times New Roman"/>
                <w:b/>
                <w:sz w:val="27"/>
                <w:szCs w:val="27"/>
              </w:rPr>
              <w:t>Вид альтернативи</w:t>
            </w:r>
          </w:p>
        </w:tc>
        <w:tc>
          <w:tcPr>
            <w:tcW w:w="2891" w:type="dxa"/>
          </w:tcPr>
          <w:p w:rsidR="005E37FF" w:rsidRPr="005E37FF" w:rsidRDefault="005E37FF" w:rsidP="005E37FF">
            <w:pPr>
              <w:spacing w:after="0" w:line="240" w:lineRule="auto"/>
              <w:jc w:val="center"/>
              <w:rPr>
                <w:rFonts w:ascii="Times New Roman" w:hAnsi="Times New Roman" w:cs="Times New Roman"/>
                <w:b/>
                <w:sz w:val="27"/>
                <w:szCs w:val="27"/>
              </w:rPr>
            </w:pPr>
            <w:r w:rsidRPr="005E37FF">
              <w:rPr>
                <w:rFonts w:ascii="Times New Roman" w:hAnsi="Times New Roman" w:cs="Times New Roman"/>
                <w:b/>
                <w:sz w:val="27"/>
                <w:szCs w:val="27"/>
              </w:rPr>
              <w:t>Вигоди</w:t>
            </w:r>
          </w:p>
        </w:tc>
        <w:tc>
          <w:tcPr>
            <w:tcW w:w="3690" w:type="dxa"/>
          </w:tcPr>
          <w:p w:rsidR="005E37FF" w:rsidRPr="005E37FF" w:rsidRDefault="005E37FF" w:rsidP="005E37FF">
            <w:pPr>
              <w:spacing w:after="0" w:line="240" w:lineRule="auto"/>
              <w:jc w:val="center"/>
              <w:rPr>
                <w:rFonts w:ascii="Times New Roman" w:hAnsi="Times New Roman" w:cs="Times New Roman"/>
                <w:b/>
                <w:sz w:val="27"/>
                <w:szCs w:val="27"/>
              </w:rPr>
            </w:pPr>
            <w:r w:rsidRPr="005E37FF">
              <w:rPr>
                <w:rFonts w:ascii="Times New Roman" w:hAnsi="Times New Roman" w:cs="Times New Roman"/>
                <w:b/>
                <w:sz w:val="27"/>
                <w:szCs w:val="27"/>
              </w:rPr>
              <w:t>Витрати</w:t>
            </w:r>
          </w:p>
        </w:tc>
      </w:tr>
      <w:tr w:rsidR="005E37FF" w:rsidRPr="005E37FF" w:rsidTr="005E37FF">
        <w:tc>
          <w:tcPr>
            <w:tcW w:w="2689" w:type="dxa"/>
          </w:tcPr>
          <w:p w:rsidR="005E37FF" w:rsidRPr="005E37FF" w:rsidRDefault="005E37FF" w:rsidP="00674DC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Альтернатива 1</w:t>
            </w:r>
          </w:p>
        </w:tc>
        <w:tc>
          <w:tcPr>
            <w:tcW w:w="2891" w:type="dxa"/>
          </w:tcPr>
          <w:p w:rsidR="005E37FF" w:rsidRDefault="005E37FF" w:rsidP="005E37FF">
            <w:pPr>
              <w:jc w:val="center"/>
            </w:pPr>
            <w:r w:rsidRPr="008E725A">
              <w:rPr>
                <w:rStyle w:val="1"/>
                <w:sz w:val="27"/>
                <w:szCs w:val="27"/>
              </w:rPr>
              <w:t>Відсутні</w:t>
            </w:r>
          </w:p>
        </w:tc>
        <w:tc>
          <w:tcPr>
            <w:tcW w:w="3690" w:type="dxa"/>
          </w:tcPr>
          <w:p w:rsidR="005E37FF" w:rsidRDefault="005E37FF" w:rsidP="005E37FF">
            <w:pPr>
              <w:jc w:val="center"/>
            </w:pPr>
            <w:r w:rsidRPr="00F17A7C">
              <w:rPr>
                <w:rStyle w:val="1"/>
                <w:sz w:val="27"/>
                <w:szCs w:val="27"/>
              </w:rPr>
              <w:t>Відсутні</w:t>
            </w:r>
          </w:p>
        </w:tc>
      </w:tr>
      <w:tr w:rsidR="005E37FF" w:rsidRPr="005E37FF" w:rsidTr="005E37FF">
        <w:tc>
          <w:tcPr>
            <w:tcW w:w="2689" w:type="dxa"/>
          </w:tcPr>
          <w:p w:rsidR="005E37FF" w:rsidRPr="005E37FF" w:rsidRDefault="005E37FF" w:rsidP="00674DC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Альтернатива 2</w:t>
            </w:r>
          </w:p>
        </w:tc>
        <w:tc>
          <w:tcPr>
            <w:tcW w:w="2891" w:type="dxa"/>
          </w:tcPr>
          <w:p w:rsidR="005E37FF" w:rsidRDefault="005E37FF" w:rsidP="005E37FF">
            <w:pPr>
              <w:jc w:val="center"/>
            </w:pPr>
            <w:r w:rsidRPr="008E725A">
              <w:rPr>
                <w:rStyle w:val="1"/>
                <w:sz w:val="27"/>
                <w:szCs w:val="27"/>
              </w:rPr>
              <w:t>Ві</w:t>
            </w:r>
            <w:bookmarkStart w:id="7" w:name="_GoBack"/>
            <w:bookmarkEnd w:id="7"/>
            <w:r w:rsidRPr="008E725A">
              <w:rPr>
                <w:rStyle w:val="1"/>
                <w:sz w:val="27"/>
                <w:szCs w:val="27"/>
              </w:rPr>
              <w:t>дсутні</w:t>
            </w:r>
          </w:p>
        </w:tc>
        <w:tc>
          <w:tcPr>
            <w:tcW w:w="3690" w:type="dxa"/>
          </w:tcPr>
          <w:p w:rsidR="005E37FF" w:rsidRDefault="005E37FF" w:rsidP="005E37FF">
            <w:pPr>
              <w:jc w:val="center"/>
            </w:pPr>
            <w:r w:rsidRPr="00F17A7C">
              <w:rPr>
                <w:rStyle w:val="1"/>
                <w:sz w:val="27"/>
                <w:szCs w:val="27"/>
              </w:rPr>
              <w:t>Відсутні</w:t>
            </w:r>
          </w:p>
        </w:tc>
      </w:tr>
      <w:tr w:rsidR="005E37FF" w:rsidRPr="005E37FF" w:rsidTr="005E37FF">
        <w:tc>
          <w:tcPr>
            <w:tcW w:w="2689" w:type="dxa"/>
          </w:tcPr>
          <w:p w:rsidR="005E37FF" w:rsidRPr="005E37FF" w:rsidRDefault="005E37FF" w:rsidP="00674DC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Альтернатива 3</w:t>
            </w:r>
          </w:p>
        </w:tc>
        <w:tc>
          <w:tcPr>
            <w:tcW w:w="2891" w:type="dxa"/>
          </w:tcPr>
          <w:p w:rsidR="005E37FF" w:rsidRDefault="005E37FF" w:rsidP="005E37FF">
            <w:pPr>
              <w:jc w:val="center"/>
            </w:pPr>
            <w:r w:rsidRPr="008E725A">
              <w:rPr>
                <w:rStyle w:val="1"/>
                <w:sz w:val="27"/>
                <w:szCs w:val="27"/>
              </w:rPr>
              <w:t>Відсутні</w:t>
            </w:r>
          </w:p>
        </w:tc>
        <w:tc>
          <w:tcPr>
            <w:tcW w:w="3690" w:type="dxa"/>
          </w:tcPr>
          <w:p w:rsidR="005E37FF" w:rsidRDefault="005E37FF" w:rsidP="005E37FF">
            <w:pPr>
              <w:jc w:val="center"/>
            </w:pPr>
            <w:r w:rsidRPr="00F17A7C">
              <w:rPr>
                <w:rStyle w:val="1"/>
                <w:sz w:val="27"/>
                <w:szCs w:val="27"/>
              </w:rPr>
              <w:t>Відсутні</w:t>
            </w:r>
          </w:p>
        </w:tc>
      </w:tr>
    </w:tbl>
    <w:p w:rsidR="005E37FF" w:rsidRDefault="005E37FF" w:rsidP="00194175">
      <w:pPr>
        <w:spacing w:after="0" w:line="240" w:lineRule="auto"/>
        <w:jc w:val="both"/>
        <w:rPr>
          <w:rFonts w:ascii="Times New Roman" w:hAnsi="Times New Roman" w:cs="Times New Roman"/>
          <w:sz w:val="27"/>
          <w:szCs w:val="27"/>
        </w:rPr>
      </w:pPr>
    </w:p>
    <w:p w:rsidR="00DA18AB" w:rsidRDefault="00DA18AB" w:rsidP="00194175">
      <w:pPr>
        <w:spacing w:after="0" w:line="240" w:lineRule="auto"/>
        <w:jc w:val="both"/>
        <w:rPr>
          <w:rFonts w:ascii="Times New Roman" w:hAnsi="Times New Roman" w:cs="Times New Roman"/>
          <w:sz w:val="27"/>
          <w:szCs w:val="27"/>
        </w:rPr>
      </w:pPr>
    </w:p>
    <w:p w:rsidR="00DA18AB" w:rsidRDefault="00DA18AB" w:rsidP="00194175">
      <w:pPr>
        <w:spacing w:after="0" w:line="240" w:lineRule="auto"/>
        <w:jc w:val="both"/>
        <w:rPr>
          <w:rFonts w:ascii="Times New Roman" w:hAnsi="Times New Roman" w:cs="Times New Roman"/>
          <w:sz w:val="27"/>
          <w:szCs w:val="27"/>
        </w:rPr>
      </w:pPr>
    </w:p>
    <w:p w:rsidR="00194175" w:rsidRDefault="00194175" w:rsidP="002723FF">
      <w:pPr>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lastRenderedPageBreak/>
        <w:t xml:space="preserve">Оцінка впливу на сферу інтересів </w:t>
      </w:r>
      <w:r w:rsidR="00404D9A">
        <w:rPr>
          <w:rFonts w:ascii="Times New Roman" w:hAnsi="Times New Roman" w:cs="Times New Roman"/>
          <w:sz w:val="27"/>
          <w:szCs w:val="27"/>
        </w:rPr>
        <w:t>с</w:t>
      </w:r>
      <w:r w:rsidR="00404D9A" w:rsidRPr="00404D9A">
        <w:rPr>
          <w:rFonts w:ascii="Times New Roman" w:hAnsi="Times New Roman" w:cs="Times New Roman"/>
          <w:sz w:val="27"/>
          <w:szCs w:val="27"/>
        </w:rPr>
        <w:t>пеціалізован</w:t>
      </w:r>
      <w:r w:rsidR="00404D9A">
        <w:rPr>
          <w:rFonts w:ascii="Times New Roman" w:hAnsi="Times New Roman" w:cs="Times New Roman"/>
          <w:sz w:val="27"/>
          <w:szCs w:val="27"/>
        </w:rPr>
        <w:t>их</w:t>
      </w:r>
      <w:r w:rsidR="00404D9A" w:rsidRPr="00404D9A">
        <w:rPr>
          <w:rFonts w:ascii="Times New Roman" w:hAnsi="Times New Roman" w:cs="Times New Roman"/>
          <w:sz w:val="27"/>
          <w:szCs w:val="27"/>
        </w:rPr>
        <w:t xml:space="preserve"> </w:t>
      </w:r>
      <w:r w:rsidR="00404D9A" w:rsidRPr="00593DEA">
        <w:rPr>
          <w:rFonts w:ascii="Times New Roman" w:hAnsi="Times New Roman" w:cs="Times New Roman"/>
          <w:sz w:val="27"/>
          <w:szCs w:val="27"/>
        </w:rPr>
        <w:t>суб’єктів</w:t>
      </w:r>
      <w:r w:rsidR="00404D9A" w:rsidRPr="00404D9A">
        <w:rPr>
          <w:rFonts w:ascii="Times New Roman" w:hAnsi="Times New Roman" w:cs="Times New Roman"/>
          <w:sz w:val="27"/>
          <w:szCs w:val="27"/>
        </w:rPr>
        <w:t xml:space="preserve"> господарювання</w:t>
      </w:r>
      <w:r w:rsidRPr="00593DEA">
        <w:rPr>
          <w:rFonts w:ascii="Times New Roman" w:hAnsi="Times New Roman" w:cs="Times New Roman"/>
          <w:sz w:val="27"/>
          <w:szCs w:val="27"/>
        </w:rPr>
        <w:t>.</w:t>
      </w:r>
    </w:p>
    <w:p w:rsidR="004A2373" w:rsidRDefault="004A2373" w:rsidP="004A2373">
      <w:pPr>
        <w:spacing w:after="0" w:line="240" w:lineRule="auto"/>
        <w:ind w:firstLine="708"/>
        <w:jc w:val="both"/>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55"/>
        <w:gridCol w:w="1168"/>
        <w:gridCol w:w="1156"/>
        <w:gridCol w:w="1155"/>
        <w:gridCol w:w="1156"/>
      </w:tblGrid>
      <w:tr w:rsidR="00194175" w:rsidRPr="00593DEA" w:rsidTr="004A2373">
        <w:tc>
          <w:tcPr>
            <w:tcW w:w="3686"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Показник</w:t>
            </w:r>
          </w:p>
        </w:tc>
        <w:tc>
          <w:tcPr>
            <w:tcW w:w="1155"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Великі</w:t>
            </w:r>
          </w:p>
        </w:tc>
        <w:tc>
          <w:tcPr>
            <w:tcW w:w="1168"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Середні</w:t>
            </w:r>
          </w:p>
        </w:tc>
        <w:tc>
          <w:tcPr>
            <w:tcW w:w="1156"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Малі</w:t>
            </w:r>
          </w:p>
        </w:tc>
        <w:tc>
          <w:tcPr>
            <w:tcW w:w="1155"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Мікро</w:t>
            </w:r>
          </w:p>
        </w:tc>
        <w:tc>
          <w:tcPr>
            <w:tcW w:w="1156"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Разом</w:t>
            </w:r>
          </w:p>
        </w:tc>
      </w:tr>
      <w:tr w:rsidR="00194175" w:rsidRPr="00593DEA" w:rsidTr="004A2373">
        <w:tc>
          <w:tcPr>
            <w:tcW w:w="3686" w:type="dxa"/>
            <w:shd w:val="clear" w:color="auto" w:fill="auto"/>
            <w:vAlign w:val="center"/>
          </w:tcPr>
          <w:p w:rsidR="00194175" w:rsidRPr="00593DEA" w:rsidRDefault="00194175" w:rsidP="0050078D">
            <w:pPr>
              <w:spacing w:after="0" w:line="240" w:lineRule="auto"/>
              <w:jc w:val="both"/>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Кількість суб’єктів господарювання, що підпадають під регулювання (одиниць)</w:t>
            </w:r>
          </w:p>
        </w:tc>
        <w:tc>
          <w:tcPr>
            <w:tcW w:w="1155"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sz w:val="27"/>
                <w:szCs w:val="27"/>
                <w:lang w:eastAsia="ru-RU"/>
              </w:rPr>
            </w:pPr>
          </w:p>
        </w:tc>
        <w:tc>
          <w:tcPr>
            <w:tcW w:w="1168" w:type="dxa"/>
            <w:shd w:val="clear" w:color="auto" w:fill="auto"/>
            <w:vAlign w:val="center"/>
          </w:tcPr>
          <w:p w:rsidR="00194175" w:rsidRPr="00593DEA" w:rsidRDefault="004A2373" w:rsidP="00821E08">
            <w:pPr>
              <w:spacing w:after="0" w:line="240" w:lineRule="auto"/>
              <w:jc w:val="center"/>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1</w:t>
            </w:r>
            <w:r w:rsidR="00821E08">
              <w:rPr>
                <w:rFonts w:ascii="Times New Roman" w:eastAsia="Calibri" w:hAnsi="Times New Roman" w:cs="Times New Roman"/>
                <w:sz w:val="27"/>
                <w:szCs w:val="27"/>
                <w:lang w:eastAsia="ru-RU"/>
              </w:rPr>
              <w:t>2</w:t>
            </w:r>
          </w:p>
        </w:tc>
        <w:tc>
          <w:tcPr>
            <w:tcW w:w="1156"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5"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6" w:type="dxa"/>
            <w:shd w:val="clear" w:color="auto" w:fill="auto"/>
            <w:vAlign w:val="center"/>
          </w:tcPr>
          <w:p w:rsidR="00194175" w:rsidRPr="00593DEA" w:rsidRDefault="004A2373" w:rsidP="00821E08">
            <w:pPr>
              <w:spacing w:after="0" w:line="240" w:lineRule="auto"/>
              <w:jc w:val="center"/>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1</w:t>
            </w:r>
            <w:r w:rsidR="00821E08">
              <w:rPr>
                <w:rFonts w:ascii="Times New Roman" w:eastAsia="Calibri" w:hAnsi="Times New Roman" w:cs="Times New Roman"/>
                <w:sz w:val="27"/>
                <w:szCs w:val="27"/>
                <w:lang w:eastAsia="ru-RU"/>
              </w:rPr>
              <w:t>2</w:t>
            </w:r>
          </w:p>
        </w:tc>
      </w:tr>
      <w:tr w:rsidR="00194175" w:rsidRPr="00593DEA" w:rsidTr="004A2373">
        <w:tc>
          <w:tcPr>
            <w:tcW w:w="3686" w:type="dxa"/>
            <w:shd w:val="clear" w:color="auto" w:fill="auto"/>
            <w:vAlign w:val="center"/>
          </w:tcPr>
          <w:p w:rsidR="00194175" w:rsidRPr="00593DEA" w:rsidRDefault="00194175" w:rsidP="0050078D">
            <w:pPr>
              <w:spacing w:after="0" w:line="240" w:lineRule="auto"/>
              <w:jc w:val="both"/>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Питома вага групи у загальній кількості (у відсотках)</w:t>
            </w:r>
          </w:p>
        </w:tc>
        <w:tc>
          <w:tcPr>
            <w:tcW w:w="1155"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sz w:val="27"/>
                <w:szCs w:val="27"/>
                <w:lang w:eastAsia="ru-RU"/>
              </w:rPr>
            </w:pPr>
          </w:p>
        </w:tc>
        <w:tc>
          <w:tcPr>
            <w:tcW w:w="1168" w:type="dxa"/>
            <w:shd w:val="clear" w:color="auto" w:fill="auto"/>
            <w:vAlign w:val="center"/>
          </w:tcPr>
          <w:p w:rsidR="00194175" w:rsidRPr="00593DEA" w:rsidRDefault="004A2373" w:rsidP="0050078D">
            <w:pPr>
              <w:spacing w:after="0" w:line="240" w:lineRule="auto"/>
              <w:jc w:val="center"/>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100</w:t>
            </w:r>
          </w:p>
        </w:tc>
        <w:tc>
          <w:tcPr>
            <w:tcW w:w="1156"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5"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6" w:type="dxa"/>
            <w:shd w:val="clear" w:color="auto" w:fill="auto"/>
            <w:vAlign w:val="center"/>
          </w:tcPr>
          <w:p w:rsidR="00194175" w:rsidRPr="00593DEA" w:rsidRDefault="00194175" w:rsidP="0050078D">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100</w:t>
            </w:r>
          </w:p>
        </w:tc>
      </w:tr>
    </w:tbl>
    <w:p w:rsidR="00194175" w:rsidRPr="00593DEA" w:rsidRDefault="00194175" w:rsidP="00194175">
      <w:pPr>
        <w:spacing w:after="0" w:line="240" w:lineRule="auto"/>
        <w:ind w:firstLine="567"/>
        <w:jc w:val="both"/>
        <w:rPr>
          <w:rFonts w:ascii="Times New Roman" w:hAnsi="Times New Roman" w:cs="Times New Roman"/>
          <w:sz w:val="27"/>
          <w:szCs w:val="27"/>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94175" w:rsidRPr="00593DEA" w:rsidTr="0050078D">
        <w:tc>
          <w:tcPr>
            <w:tcW w:w="3190" w:type="dxa"/>
            <w:shd w:val="clear" w:color="auto" w:fill="auto"/>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Вид альтернативи</w:t>
            </w:r>
          </w:p>
        </w:tc>
        <w:tc>
          <w:tcPr>
            <w:tcW w:w="3190" w:type="dxa"/>
            <w:shd w:val="clear" w:color="auto" w:fill="auto"/>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Вигоди</w:t>
            </w:r>
          </w:p>
        </w:tc>
        <w:tc>
          <w:tcPr>
            <w:tcW w:w="3191" w:type="dxa"/>
            <w:shd w:val="clear" w:color="auto" w:fill="auto"/>
            <w:vAlign w:val="center"/>
          </w:tcPr>
          <w:p w:rsidR="00194175" w:rsidRPr="00593DEA" w:rsidRDefault="00194175" w:rsidP="0050078D">
            <w:pPr>
              <w:spacing w:after="0" w:line="240" w:lineRule="auto"/>
              <w:jc w:val="center"/>
              <w:rPr>
                <w:rFonts w:ascii="Times New Roman" w:hAnsi="Times New Roman" w:cs="Times New Roman"/>
                <w:b/>
                <w:sz w:val="27"/>
                <w:szCs w:val="27"/>
              </w:rPr>
            </w:pPr>
            <w:r w:rsidRPr="00593DEA">
              <w:rPr>
                <w:rStyle w:val="1"/>
                <w:b/>
                <w:sz w:val="27"/>
                <w:szCs w:val="27"/>
              </w:rPr>
              <w:t>Витрати</w:t>
            </w:r>
          </w:p>
        </w:tc>
      </w:tr>
      <w:tr w:rsidR="00194175" w:rsidRPr="00593DEA" w:rsidTr="0050078D">
        <w:tc>
          <w:tcPr>
            <w:tcW w:w="3190" w:type="dxa"/>
            <w:shd w:val="clear" w:color="auto" w:fill="auto"/>
            <w:vAlign w:val="center"/>
          </w:tcPr>
          <w:p w:rsidR="00194175" w:rsidRPr="00593DEA" w:rsidRDefault="00194175" w:rsidP="0050078D">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1</w:t>
            </w:r>
          </w:p>
        </w:tc>
        <w:tc>
          <w:tcPr>
            <w:tcW w:w="3190" w:type="dxa"/>
            <w:vAlign w:val="center"/>
          </w:tcPr>
          <w:p w:rsidR="00194175" w:rsidRPr="00593DEA" w:rsidRDefault="00194175" w:rsidP="0050078D">
            <w:pPr>
              <w:widowControl w:val="0"/>
              <w:tabs>
                <w:tab w:val="left" w:pos="990"/>
              </w:tabs>
              <w:spacing w:after="0" w:line="240" w:lineRule="auto"/>
              <w:jc w:val="center"/>
              <w:rPr>
                <w:rFonts w:ascii="Times New Roman" w:hAnsi="Times New Roman" w:cs="Times New Roman"/>
                <w:color w:val="000000"/>
                <w:sz w:val="27"/>
                <w:szCs w:val="27"/>
                <w:lang w:eastAsia="ru-RU"/>
              </w:rPr>
            </w:pPr>
            <w:r w:rsidRPr="00593DEA">
              <w:rPr>
                <w:rFonts w:ascii="Times New Roman" w:hAnsi="Times New Roman" w:cs="Times New Roman"/>
                <w:color w:val="000000"/>
                <w:sz w:val="27"/>
                <w:szCs w:val="27"/>
                <w:lang w:eastAsia="ru-RU"/>
              </w:rPr>
              <w:t>Відсутні.</w:t>
            </w:r>
          </w:p>
        </w:tc>
        <w:tc>
          <w:tcPr>
            <w:tcW w:w="3191" w:type="dxa"/>
            <w:vAlign w:val="center"/>
          </w:tcPr>
          <w:p w:rsidR="00E865DC" w:rsidRDefault="00331AAE" w:rsidP="0050078D">
            <w:pPr>
              <w:widowControl w:val="0"/>
              <w:tabs>
                <w:tab w:val="left" w:pos="990"/>
              </w:tabs>
              <w:spacing w:after="0" w:line="240" w:lineRule="auto"/>
              <w:jc w:val="both"/>
              <w:rPr>
                <w:rFonts w:ascii="Times New Roman" w:hAnsi="Times New Roman" w:cs="Times New Roman"/>
                <w:bCs/>
                <w:sz w:val="27"/>
                <w:szCs w:val="27"/>
                <w:lang w:eastAsia="uk-UA"/>
              </w:rPr>
            </w:pPr>
            <w:r w:rsidRPr="00331AAE">
              <w:rPr>
                <w:rFonts w:ascii="Times New Roman" w:hAnsi="Times New Roman" w:cs="Times New Roman"/>
                <w:bCs/>
                <w:sz w:val="27"/>
                <w:szCs w:val="27"/>
                <w:lang w:eastAsia="uk-UA"/>
              </w:rPr>
              <w:t>Залишається законодавча неврегульованість та невиконання вимог постанов Кабінету Міністрів України від 28 лютого 2011 року № 301 та від 25 січня 1999 року № 83.</w:t>
            </w:r>
          </w:p>
          <w:p w:rsidR="00DA18AB" w:rsidRPr="00E865DC" w:rsidRDefault="00DA18AB" w:rsidP="0050078D">
            <w:pPr>
              <w:widowControl w:val="0"/>
              <w:tabs>
                <w:tab w:val="left" w:pos="990"/>
              </w:tabs>
              <w:spacing w:after="0" w:line="240" w:lineRule="auto"/>
              <w:jc w:val="both"/>
              <w:rPr>
                <w:rFonts w:ascii="Times New Roman" w:hAnsi="Times New Roman" w:cs="Times New Roman"/>
                <w:bCs/>
                <w:sz w:val="27"/>
                <w:szCs w:val="27"/>
                <w:lang w:eastAsia="uk-UA"/>
              </w:rPr>
            </w:pPr>
          </w:p>
        </w:tc>
      </w:tr>
      <w:tr w:rsidR="00194175" w:rsidRPr="00593DEA" w:rsidTr="0050078D">
        <w:tc>
          <w:tcPr>
            <w:tcW w:w="3190" w:type="dxa"/>
            <w:shd w:val="clear" w:color="auto" w:fill="auto"/>
            <w:vAlign w:val="center"/>
          </w:tcPr>
          <w:p w:rsidR="00194175" w:rsidRPr="00593DEA" w:rsidRDefault="00194175" w:rsidP="0050078D">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2</w:t>
            </w:r>
          </w:p>
        </w:tc>
        <w:tc>
          <w:tcPr>
            <w:tcW w:w="3190" w:type="dxa"/>
            <w:shd w:val="clear" w:color="auto" w:fill="auto"/>
            <w:vAlign w:val="center"/>
          </w:tcPr>
          <w:p w:rsidR="00194175" w:rsidRDefault="00331AAE" w:rsidP="009706CD">
            <w:pPr>
              <w:pStyle w:val="3"/>
              <w:shd w:val="clear" w:color="auto" w:fill="auto"/>
              <w:spacing w:before="0" w:after="0" w:line="240" w:lineRule="auto"/>
              <w:rPr>
                <w:rFonts w:ascii="Times New Roman" w:hAnsi="Times New Roman" w:cs="Times New Roman"/>
                <w:color w:val="000000"/>
                <w:spacing w:val="0"/>
                <w:sz w:val="27"/>
                <w:szCs w:val="27"/>
                <w:lang w:eastAsia="uk-UA"/>
              </w:rPr>
            </w:pPr>
            <w:r w:rsidRPr="00331AAE">
              <w:rPr>
                <w:rFonts w:ascii="Times New Roman" w:hAnsi="Times New Roman" w:cs="Times New Roman"/>
                <w:color w:val="000000"/>
                <w:spacing w:val="0"/>
                <w:sz w:val="27"/>
                <w:szCs w:val="27"/>
                <w:lang w:eastAsia="uk-UA"/>
              </w:rPr>
              <w:t>Прийняття проєкту акта призведе до вирішення у правовому полі питання щодо складу, змісту, порядку складання, погодження та затвердження проєктів та кошторисів на проведення всіх видів геологорозвідувальних робіт, які виконуються за кошти державного бюджету.</w:t>
            </w:r>
          </w:p>
          <w:p w:rsidR="00DA18AB" w:rsidRPr="00593DEA" w:rsidRDefault="00DA18AB" w:rsidP="009706CD">
            <w:pPr>
              <w:pStyle w:val="3"/>
              <w:shd w:val="clear" w:color="auto" w:fill="auto"/>
              <w:spacing w:before="0" w:after="0" w:line="240" w:lineRule="auto"/>
              <w:rPr>
                <w:rStyle w:val="1"/>
                <w:color w:val="FF0000"/>
                <w:spacing w:val="0"/>
                <w:sz w:val="27"/>
                <w:szCs w:val="27"/>
              </w:rPr>
            </w:pPr>
          </w:p>
        </w:tc>
        <w:tc>
          <w:tcPr>
            <w:tcW w:w="3191" w:type="dxa"/>
            <w:shd w:val="clear" w:color="auto" w:fill="auto"/>
            <w:vAlign w:val="center"/>
          </w:tcPr>
          <w:p w:rsidR="00194175" w:rsidRPr="00593DEA" w:rsidRDefault="00331AAE" w:rsidP="00331AAE">
            <w:pPr>
              <w:spacing w:after="0" w:line="240" w:lineRule="auto"/>
              <w:jc w:val="center"/>
              <w:rPr>
                <w:rStyle w:val="1"/>
                <w:sz w:val="27"/>
                <w:szCs w:val="27"/>
              </w:rPr>
            </w:pPr>
            <w:r w:rsidRPr="00593DEA">
              <w:rPr>
                <w:rFonts w:ascii="Times New Roman" w:hAnsi="Times New Roman" w:cs="Times New Roman"/>
                <w:color w:val="000000"/>
                <w:sz w:val="27"/>
                <w:szCs w:val="27"/>
                <w:lang w:eastAsia="ru-RU"/>
              </w:rPr>
              <w:t>Відсутні.</w:t>
            </w:r>
          </w:p>
        </w:tc>
      </w:tr>
      <w:tr w:rsidR="00331AAE" w:rsidRPr="00593DEA" w:rsidTr="0050078D">
        <w:tc>
          <w:tcPr>
            <w:tcW w:w="3190" w:type="dxa"/>
            <w:shd w:val="clear" w:color="auto" w:fill="auto"/>
            <w:vAlign w:val="center"/>
          </w:tcPr>
          <w:p w:rsidR="00331AAE" w:rsidRPr="00331AAE" w:rsidRDefault="00331AAE" w:rsidP="00331AAE">
            <w:pPr>
              <w:pStyle w:val="3"/>
              <w:shd w:val="clear" w:color="auto" w:fill="auto"/>
              <w:spacing w:before="0" w:after="0" w:line="240" w:lineRule="auto"/>
              <w:jc w:val="center"/>
              <w:rPr>
                <w:rStyle w:val="1"/>
                <w:spacing w:val="0"/>
                <w:sz w:val="27"/>
                <w:szCs w:val="27"/>
              </w:rPr>
            </w:pPr>
            <w:r>
              <w:rPr>
                <w:rStyle w:val="1"/>
                <w:spacing w:val="0"/>
                <w:sz w:val="27"/>
                <w:szCs w:val="27"/>
              </w:rPr>
              <w:t>Альтернатива 3</w:t>
            </w:r>
          </w:p>
        </w:tc>
        <w:tc>
          <w:tcPr>
            <w:tcW w:w="3190" w:type="dxa"/>
            <w:shd w:val="clear" w:color="auto" w:fill="auto"/>
            <w:vAlign w:val="center"/>
          </w:tcPr>
          <w:p w:rsidR="00331AAE" w:rsidRPr="00331AAE" w:rsidRDefault="00331AAE" w:rsidP="00331AAE">
            <w:pPr>
              <w:pStyle w:val="3"/>
              <w:shd w:val="clear" w:color="auto" w:fill="auto"/>
              <w:spacing w:before="0" w:after="0" w:line="240" w:lineRule="auto"/>
              <w:jc w:val="center"/>
              <w:rPr>
                <w:rFonts w:ascii="Times New Roman" w:hAnsi="Times New Roman" w:cs="Times New Roman"/>
                <w:color w:val="000000"/>
                <w:spacing w:val="0"/>
                <w:sz w:val="27"/>
                <w:szCs w:val="27"/>
                <w:lang w:eastAsia="uk-UA"/>
              </w:rPr>
            </w:pPr>
            <w:r w:rsidRPr="00593DEA">
              <w:rPr>
                <w:rFonts w:ascii="Times New Roman" w:hAnsi="Times New Roman" w:cs="Times New Roman"/>
                <w:color w:val="000000"/>
                <w:sz w:val="27"/>
                <w:szCs w:val="27"/>
                <w:lang w:eastAsia="ru-RU"/>
              </w:rPr>
              <w:t>Відсутні.</w:t>
            </w:r>
          </w:p>
        </w:tc>
        <w:tc>
          <w:tcPr>
            <w:tcW w:w="3191" w:type="dxa"/>
            <w:shd w:val="clear" w:color="auto" w:fill="auto"/>
            <w:vAlign w:val="center"/>
          </w:tcPr>
          <w:p w:rsidR="00331AAE" w:rsidRPr="00593DEA" w:rsidRDefault="00331AAE" w:rsidP="00331AAE">
            <w:pPr>
              <w:spacing w:after="0" w:line="240" w:lineRule="auto"/>
              <w:ind w:left="-76"/>
              <w:jc w:val="both"/>
              <w:rPr>
                <w:rFonts w:ascii="Times New Roman" w:hAnsi="Times New Roman" w:cs="Times New Roman"/>
                <w:color w:val="000000"/>
                <w:sz w:val="27"/>
                <w:szCs w:val="27"/>
                <w:lang w:eastAsia="ru-RU"/>
              </w:rPr>
            </w:pPr>
            <w:r w:rsidRPr="00593DEA">
              <w:rPr>
                <w:rStyle w:val="1"/>
                <w:sz w:val="27"/>
                <w:szCs w:val="27"/>
              </w:rPr>
              <w:t>Залишається</w:t>
            </w:r>
            <w:r>
              <w:rPr>
                <w:rStyle w:val="1"/>
                <w:sz w:val="27"/>
                <w:szCs w:val="27"/>
              </w:rPr>
              <w:t xml:space="preserve"> </w:t>
            </w:r>
            <w:r w:rsidRPr="00593DEA">
              <w:rPr>
                <w:rStyle w:val="1"/>
                <w:sz w:val="27"/>
                <w:szCs w:val="27"/>
              </w:rPr>
              <w:t>законодавча</w:t>
            </w:r>
            <w:r>
              <w:rPr>
                <w:rStyle w:val="1"/>
                <w:sz w:val="27"/>
                <w:szCs w:val="27"/>
              </w:rPr>
              <w:t xml:space="preserve"> </w:t>
            </w:r>
            <w:r w:rsidRPr="00593DEA">
              <w:rPr>
                <w:rStyle w:val="1"/>
                <w:sz w:val="27"/>
                <w:szCs w:val="27"/>
              </w:rPr>
              <w:t>неврегульованість та не</w:t>
            </w:r>
            <w:r w:rsidRPr="00593DEA">
              <w:rPr>
                <w:rFonts w:ascii="Times New Roman" w:hAnsi="Times New Roman" w:cs="Times New Roman"/>
                <w:sz w:val="27"/>
                <w:szCs w:val="27"/>
                <w:shd w:val="clear" w:color="auto" w:fill="FFFFFF"/>
                <w:lang w:eastAsia="uk-UA"/>
              </w:rPr>
              <w:t>виконання вимог</w:t>
            </w:r>
            <w:r>
              <w:rPr>
                <w:rFonts w:ascii="Times New Roman" w:hAnsi="Times New Roman" w:cs="Times New Roman"/>
                <w:sz w:val="27"/>
                <w:szCs w:val="27"/>
                <w:shd w:val="clear" w:color="auto" w:fill="FFFFFF"/>
                <w:lang w:eastAsia="uk-UA"/>
              </w:rPr>
              <w:t xml:space="preserve"> постанов Кабінету Міністрів України</w:t>
            </w:r>
            <w:r w:rsidRPr="00593DEA">
              <w:rPr>
                <w:rFonts w:ascii="Times New Roman" w:hAnsi="Times New Roman" w:cs="Times New Roman"/>
                <w:sz w:val="27"/>
                <w:szCs w:val="27"/>
                <w:shd w:val="clear" w:color="auto" w:fill="FFFFFF"/>
                <w:lang w:eastAsia="uk-UA"/>
              </w:rPr>
              <w:t xml:space="preserve"> </w:t>
            </w:r>
            <w:r w:rsidRPr="004A2373">
              <w:rPr>
                <w:rFonts w:ascii="Times New Roman" w:hAnsi="Times New Roman" w:cs="Times New Roman"/>
                <w:sz w:val="27"/>
                <w:szCs w:val="27"/>
                <w:shd w:val="clear" w:color="auto" w:fill="FFFFFF"/>
                <w:lang w:eastAsia="uk-UA"/>
              </w:rPr>
              <w:t>від 28 лютого 2011 року № 301 та від 25 січня 1999 року № 83.</w:t>
            </w:r>
          </w:p>
        </w:tc>
      </w:tr>
    </w:tbl>
    <w:p w:rsidR="007A5292" w:rsidRPr="00593DEA" w:rsidRDefault="007A5292" w:rsidP="00194175">
      <w:pPr>
        <w:widowControl w:val="0"/>
        <w:tabs>
          <w:tab w:val="left" w:pos="990"/>
        </w:tabs>
        <w:spacing w:after="0" w:line="240" w:lineRule="auto"/>
        <w:rPr>
          <w:rFonts w:ascii="Times New Roman" w:hAnsi="Times New Roman" w:cs="Times New Roman"/>
          <w:sz w:val="27"/>
          <w:szCs w:val="27"/>
        </w:rPr>
      </w:pPr>
    </w:p>
    <w:p w:rsidR="00194175" w:rsidRPr="00593DEA" w:rsidRDefault="00194175" w:rsidP="00194175">
      <w:pPr>
        <w:pStyle w:val="20"/>
        <w:shd w:val="clear" w:color="auto" w:fill="auto"/>
        <w:tabs>
          <w:tab w:val="left" w:pos="1315"/>
        </w:tabs>
        <w:spacing w:after="0" w:line="240" w:lineRule="auto"/>
        <w:ind w:firstLine="567"/>
        <w:jc w:val="both"/>
        <w:rPr>
          <w:rFonts w:ascii="Times New Roman" w:hAnsi="Times New Roman" w:cs="Times New Roman"/>
          <w:b w:val="0"/>
          <w:bCs w:val="0"/>
          <w:spacing w:val="0"/>
          <w:sz w:val="27"/>
          <w:szCs w:val="27"/>
          <w:shd w:val="clear" w:color="auto" w:fill="auto"/>
        </w:rPr>
      </w:pPr>
      <w:r w:rsidRPr="00593DEA">
        <w:rPr>
          <w:rFonts w:ascii="Times New Roman" w:hAnsi="Times New Roman" w:cs="Times New Roman"/>
          <w:b w:val="0"/>
          <w:bCs w:val="0"/>
          <w:spacing w:val="0"/>
          <w:sz w:val="27"/>
          <w:szCs w:val="27"/>
          <w:shd w:val="clear" w:color="auto" w:fill="auto"/>
        </w:rPr>
        <w:t xml:space="preserve">Внаслідок прийняття </w:t>
      </w:r>
      <w:r w:rsidR="001C270C">
        <w:rPr>
          <w:rFonts w:ascii="Times New Roman" w:hAnsi="Times New Roman" w:cs="Times New Roman"/>
          <w:b w:val="0"/>
          <w:bCs w:val="0"/>
          <w:spacing w:val="0"/>
          <w:sz w:val="27"/>
          <w:szCs w:val="27"/>
          <w:shd w:val="clear" w:color="auto" w:fill="auto"/>
        </w:rPr>
        <w:t>р</w:t>
      </w:r>
      <w:r w:rsidRPr="00593DEA">
        <w:rPr>
          <w:rFonts w:ascii="Times New Roman" w:hAnsi="Times New Roman" w:cs="Times New Roman"/>
          <w:b w:val="0"/>
          <w:bCs w:val="0"/>
          <w:spacing w:val="0"/>
          <w:sz w:val="27"/>
          <w:szCs w:val="27"/>
          <w:shd w:val="clear" w:color="auto" w:fill="auto"/>
        </w:rPr>
        <w:t>егуляторного акт</w:t>
      </w:r>
      <w:r w:rsidR="00C17791" w:rsidRPr="00593DEA">
        <w:rPr>
          <w:rFonts w:ascii="Times New Roman" w:hAnsi="Times New Roman" w:cs="Times New Roman"/>
          <w:b w:val="0"/>
          <w:bCs w:val="0"/>
          <w:spacing w:val="0"/>
          <w:sz w:val="27"/>
          <w:szCs w:val="27"/>
          <w:shd w:val="clear" w:color="auto" w:fill="auto"/>
        </w:rPr>
        <w:t>а</w:t>
      </w:r>
      <w:r w:rsidRPr="00593DEA">
        <w:rPr>
          <w:rFonts w:ascii="Times New Roman" w:hAnsi="Times New Roman" w:cs="Times New Roman"/>
          <w:b w:val="0"/>
          <w:bCs w:val="0"/>
          <w:spacing w:val="0"/>
          <w:sz w:val="27"/>
          <w:szCs w:val="27"/>
          <w:shd w:val="clear" w:color="auto" w:fill="auto"/>
        </w:rPr>
        <w:t xml:space="preserve"> не прогнозується з</w:t>
      </w:r>
      <w:r w:rsidR="00331AAE">
        <w:rPr>
          <w:rFonts w:ascii="Times New Roman" w:hAnsi="Times New Roman" w:cs="Times New Roman"/>
          <w:b w:val="0"/>
          <w:bCs w:val="0"/>
          <w:spacing w:val="0"/>
          <w:sz w:val="27"/>
          <w:szCs w:val="27"/>
          <w:shd w:val="clear" w:color="auto" w:fill="auto"/>
        </w:rPr>
        <w:t xml:space="preserve">більшення </w:t>
      </w:r>
      <w:r w:rsidRPr="00593DEA">
        <w:rPr>
          <w:rFonts w:ascii="Times New Roman" w:hAnsi="Times New Roman" w:cs="Times New Roman"/>
          <w:b w:val="0"/>
          <w:bCs w:val="0"/>
          <w:spacing w:val="0"/>
          <w:sz w:val="27"/>
          <w:szCs w:val="27"/>
          <w:shd w:val="clear" w:color="auto" w:fill="auto"/>
        </w:rPr>
        <w:t xml:space="preserve">витрат </w:t>
      </w:r>
      <w:r w:rsidR="00331AAE">
        <w:rPr>
          <w:rFonts w:ascii="Times New Roman" w:hAnsi="Times New Roman" w:cs="Times New Roman"/>
          <w:b w:val="0"/>
          <w:bCs w:val="0"/>
          <w:spacing w:val="0"/>
          <w:sz w:val="27"/>
          <w:szCs w:val="27"/>
          <w:shd w:val="clear" w:color="auto" w:fill="auto"/>
        </w:rPr>
        <w:t xml:space="preserve">спеціалізованих </w:t>
      </w:r>
      <w:r w:rsidRPr="00593DEA">
        <w:rPr>
          <w:rFonts w:ascii="Times New Roman" w:hAnsi="Times New Roman" w:cs="Times New Roman"/>
          <w:b w:val="0"/>
          <w:bCs w:val="0"/>
          <w:spacing w:val="0"/>
          <w:sz w:val="27"/>
          <w:szCs w:val="27"/>
          <w:shd w:val="clear" w:color="auto" w:fill="auto"/>
        </w:rPr>
        <w:t xml:space="preserve">суб’єктів господарювання. </w:t>
      </w:r>
    </w:p>
    <w:p w:rsidR="00194175" w:rsidRDefault="00194175" w:rsidP="00194175">
      <w:pPr>
        <w:pStyle w:val="20"/>
        <w:shd w:val="clear" w:color="auto" w:fill="auto"/>
        <w:tabs>
          <w:tab w:val="left" w:pos="1315"/>
        </w:tabs>
        <w:spacing w:after="0" w:line="240" w:lineRule="auto"/>
        <w:jc w:val="left"/>
        <w:rPr>
          <w:rFonts w:ascii="Times New Roman" w:hAnsi="Times New Roman" w:cs="Times New Roman"/>
          <w:b w:val="0"/>
          <w:bCs w:val="0"/>
          <w:spacing w:val="0"/>
          <w:sz w:val="27"/>
          <w:szCs w:val="27"/>
          <w:shd w:val="clear" w:color="auto" w:fill="auto"/>
        </w:rPr>
      </w:pPr>
    </w:p>
    <w:p w:rsidR="00194175" w:rsidRPr="00593DEA" w:rsidRDefault="00194175" w:rsidP="00194175">
      <w:pPr>
        <w:pStyle w:val="20"/>
        <w:shd w:val="clear" w:color="auto" w:fill="auto"/>
        <w:tabs>
          <w:tab w:val="left" w:pos="1315"/>
        </w:tabs>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lastRenderedPageBreak/>
        <w:t>IV. Вибір найбільш оптимального альтернативного способу досягнення цілі</w:t>
      </w:r>
    </w:p>
    <w:p w:rsidR="00194175" w:rsidRPr="00593DEA" w:rsidRDefault="00194175" w:rsidP="00194175">
      <w:pPr>
        <w:pStyle w:val="20"/>
        <w:shd w:val="clear" w:color="auto" w:fill="auto"/>
        <w:tabs>
          <w:tab w:val="left" w:pos="1315"/>
        </w:tabs>
        <w:spacing w:after="0" w:line="240" w:lineRule="auto"/>
        <w:ind w:firstLine="567"/>
        <w:rPr>
          <w:rFonts w:ascii="Times New Roman" w:hAnsi="Times New Roman" w:cs="Times New Roman"/>
          <w:spacing w:val="0"/>
          <w:sz w:val="27"/>
          <w:szCs w:val="27"/>
        </w:rPr>
      </w:pP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814"/>
        <w:gridCol w:w="1596"/>
        <w:gridCol w:w="1657"/>
        <w:gridCol w:w="752"/>
        <w:gridCol w:w="2502"/>
      </w:tblGrid>
      <w:tr w:rsidR="00194175" w:rsidRPr="00593DEA" w:rsidTr="0050078D">
        <w:tc>
          <w:tcPr>
            <w:tcW w:w="3253" w:type="dxa"/>
            <w:gridSpan w:val="2"/>
            <w:vAlign w:val="center"/>
          </w:tcPr>
          <w:p w:rsidR="00194175" w:rsidRPr="00593DEA" w:rsidRDefault="00194175" w:rsidP="0050078D">
            <w:pPr>
              <w:widowControl w:val="0"/>
              <w:tabs>
                <w:tab w:val="left" w:pos="990"/>
              </w:tabs>
              <w:spacing w:after="0" w:line="240" w:lineRule="auto"/>
              <w:jc w:val="center"/>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Рейтинг результативності (досягнення цілей під час вирішення проблеми)</w:t>
            </w:r>
          </w:p>
        </w:tc>
        <w:tc>
          <w:tcPr>
            <w:tcW w:w="3253" w:type="dxa"/>
            <w:gridSpan w:val="2"/>
            <w:vAlign w:val="center"/>
          </w:tcPr>
          <w:p w:rsidR="00194175" w:rsidRPr="00593DEA" w:rsidRDefault="00194175" w:rsidP="0050078D">
            <w:pPr>
              <w:widowControl w:val="0"/>
              <w:tabs>
                <w:tab w:val="left" w:pos="990"/>
              </w:tabs>
              <w:spacing w:after="0" w:line="240" w:lineRule="auto"/>
              <w:jc w:val="center"/>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Бал результативності (за чотирибальною системою оцінки)</w:t>
            </w:r>
          </w:p>
        </w:tc>
        <w:tc>
          <w:tcPr>
            <w:tcW w:w="3254" w:type="dxa"/>
            <w:gridSpan w:val="2"/>
            <w:vAlign w:val="center"/>
          </w:tcPr>
          <w:p w:rsidR="00194175" w:rsidRPr="00593DEA" w:rsidRDefault="00194175" w:rsidP="0050078D">
            <w:pPr>
              <w:widowControl w:val="0"/>
              <w:tabs>
                <w:tab w:val="left" w:pos="990"/>
              </w:tabs>
              <w:spacing w:after="0" w:line="240" w:lineRule="auto"/>
              <w:jc w:val="center"/>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Коментарі щодо присвоєння відповідного балу</w:t>
            </w:r>
          </w:p>
        </w:tc>
      </w:tr>
      <w:tr w:rsidR="00194175" w:rsidRPr="00593DEA" w:rsidTr="0050078D">
        <w:tc>
          <w:tcPr>
            <w:tcW w:w="3253" w:type="dxa"/>
            <w:gridSpan w:val="2"/>
            <w:tcBorders>
              <w:bottom w:val="single" w:sz="4" w:space="0" w:color="auto"/>
            </w:tcBorders>
            <w:vAlign w:val="center"/>
          </w:tcPr>
          <w:p w:rsidR="00194175" w:rsidRPr="00593DEA" w:rsidRDefault="002D3C6F" w:rsidP="0050078D">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1</w:t>
            </w:r>
          </w:p>
        </w:tc>
        <w:tc>
          <w:tcPr>
            <w:tcW w:w="3253" w:type="dxa"/>
            <w:gridSpan w:val="2"/>
            <w:tcBorders>
              <w:bottom w:val="single" w:sz="4" w:space="0" w:color="auto"/>
            </w:tcBorders>
            <w:vAlign w:val="center"/>
          </w:tcPr>
          <w:p w:rsidR="00194175" w:rsidRPr="00593DEA" w:rsidRDefault="00194175" w:rsidP="0050078D">
            <w:pPr>
              <w:spacing w:after="0" w:line="240" w:lineRule="auto"/>
              <w:jc w:val="center"/>
              <w:rPr>
                <w:rFonts w:ascii="Times New Roman" w:hAnsi="Times New Roman" w:cs="Times New Roman"/>
                <w:sz w:val="27"/>
                <w:szCs w:val="27"/>
              </w:rPr>
            </w:pPr>
            <w:r w:rsidRPr="00593DEA">
              <w:rPr>
                <w:rFonts w:ascii="Times New Roman" w:hAnsi="Times New Roman" w:cs="Times New Roman"/>
                <w:sz w:val="27"/>
                <w:szCs w:val="27"/>
              </w:rPr>
              <w:t>1</w:t>
            </w:r>
          </w:p>
        </w:tc>
        <w:tc>
          <w:tcPr>
            <w:tcW w:w="3254" w:type="dxa"/>
            <w:gridSpan w:val="2"/>
            <w:tcBorders>
              <w:bottom w:val="single" w:sz="4" w:space="0" w:color="auto"/>
            </w:tcBorders>
            <w:vAlign w:val="center"/>
          </w:tcPr>
          <w:p w:rsidR="00194175" w:rsidRPr="00593DEA" w:rsidRDefault="00194175" w:rsidP="0050078D">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Поставлені цілі не будуть досягнуті, проблема продовжує існувати.</w:t>
            </w:r>
          </w:p>
        </w:tc>
      </w:tr>
      <w:tr w:rsidR="00194175" w:rsidRPr="00593DEA" w:rsidTr="0050078D">
        <w:tc>
          <w:tcPr>
            <w:tcW w:w="3253" w:type="dxa"/>
            <w:gridSpan w:val="2"/>
            <w:tcBorders>
              <w:bottom w:val="single" w:sz="4" w:space="0" w:color="auto"/>
            </w:tcBorders>
            <w:vAlign w:val="center"/>
          </w:tcPr>
          <w:p w:rsidR="00194175" w:rsidRPr="00593DEA" w:rsidRDefault="002D3C6F" w:rsidP="0050078D">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2</w:t>
            </w:r>
          </w:p>
        </w:tc>
        <w:tc>
          <w:tcPr>
            <w:tcW w:w="3253" w:type="dxa"/>
            <w:gridSpan w:val="2"/>
            <w:tcBorders>
              <w:bottom w:val="single" w:sz="4" w:space="0" w:color="auto"/>
            </w:tcBorders>
            <w:vAlign w:val="center"/>
          </w:tcPr>
          <w:p w:rsidR="00194175" w:rsidRPr="00593DEA" w:rsidRDefault="00194175" w:rsidP="0050078D">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4</w:t>
            </w:r>
          </w:p>
        </w:tc>
        <w:tc>
          <w:tcPr>
            <w:tcW w:w="3254" w:type="dxa"/>
            <w:gridSpan w:val="2"/>
            <w:tcBorders>
              <w:bottom w:val="single" w:sz="4" w:space="0" w:color="auto"/>
            </w:tcBorders>
            <w:vAlign w:val="center"/>
          </w:tcPr>
          <w:p w:rsidR="00194175" w:rsidRPr="00593DEA" w:rsidRDefault="00194175" w:rsidP="00331AAE">
            <w:pPr>
              <w:widowControl w:val="0"/>
              <w:tabs>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Прийняття проєкту акта призведе до вирішення у правовому полі</w:t>
            </w:r>
            <w:r w:rsidR="00331AAE">
              <w:rPr>
                <w:rFonts w:ascii="Times New Roman" w:hAnsi="Times New Roman" w:cs="Times New Roman"/>
                <w:sz w:val="27"/>
                <w:szCs w:val="27"/>
                <w:lang w:eastAsia="ru-RU"/>
              </w:rPr>
              <w:t xml:space="preserve"> </w:t>
            </w:r>
            <w:r w:rsidR="00331AAE" w:rsidRPr="00331AAE">
              <w:rPr>
                <w:rFonts w:ascii="Times New Roman" w:hAnsi="Times New Roman" w:cs="Times New Roman"/>
                <w:color w:val="000000"/>
                <w:sz w:val="27"/>
                <w:szCs w:val="27"/>
                <w:lang w:eastAsia="uk-UA"/>
              </w:rPr>
              <w:t>питання щодо складу, змісту, порядку складання, погодження та затвердження проєктів та кошторисів на проведення всіх видів геологорозвідувальних робіт, які виконуються за кошти державного бюджету.</w:t>
            </w:r>
            <w:r w:rsidRPr="00593DEA">
              <w:rPr>
                <w:rFonts w:ascii="Times New Roman" w:hAnsi="Times New Roman" w:cs="Times New Roman"/>
                <w:sz w:val="27"/>
                <w:szCs w:val="27"/>
                <w:lang w:eastAsia="ru-RU"/>
              </w:rPr>
              <w:t xml:space="preserve"> (проблема більше існувати не буде).</w:t>
            </w:r>
          </w:p>
        </w:tc>
      </w:tr>
      <w:tr w:rsidR="00331AAE" w:rsidRPr="00593DEA" w:rsidTr="0050078D">
        <w:tc>
          <w:tcPr>
            <w:tcW w:w="3253" w:type="dxa"/>
            <w:gridSpan w:val="2"/>
            <w:tcBorders>
              <w:bottom w:val="single" w:sz="4" w:space="0" w:color="auto"/>
            </w:tcBorders>
            <w:vAlign w:val="center"/>
          </w:tcPr>
          <w:p w:rsidR="00331AAE" w:rsidRPr="00593DEA" w:rsidRDefault="00331AAE" w:rsidP="0050078D">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3</w:t>
            </w:r>
          </w:p>
        </w:tc>
        <w:tc>
          <w:tcPr>
            <w:tcW w:w="3253" w:type="dxa"/>
            <w:gridSpan w:val="2"/>
            <w:tcBorders>
              <w:bottom w:val="single" w:sz="4" w:space="0" w:color="auto"/>
            </w:tcBorders>
            <w:vAlign w:val="center"/>
          </w:tcPr>
          <w:p w:rsidR="00331AAE" w:rsidRPr="00593DEA" w:rsidRDefault="00331AAE" w:rsidP="0050078D">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1</w:t>
            </w:r>
          </w:p>
        </w:tc>
        <w:tc>
          <w:tcPr>
            <w:tcW w:w="3254" w:type="dxa"/>
            <w:gridSpan w:val="2"/>
            <w:tcBorders>
              <w:bottom w:val="single" w:sz="4" w:space="0" w:color="auto"/>
            </w:tcBorders>
            <w:vAlign w:val="center"/>
          </w:tcPr>
          <w:p w:rsidR="00331AAE" w:rsidRPr="00593DEA" w:rsidRDefault="00331AAE" w:rsidP="0050078D">
            <w:pPr>
              <w:widowControl w:val="0"/>
              <w:tabs>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rPr>
              <w:t>Поставлені цілі не будуть досягнуті, проблема продовжує існувати.</w:t>
            </w:r>
          </w:p>
        </w:tc>
      </w:tr>
      <w:tr w:rsidR="00194175" w:rsidRPr="00593DEA" w:rsidTr="00DA18AB">
        <w:tc>
          <w:tcPr>
            <w:tcW w:w="2439" w:type="dxa"/>
            <w:tcBorders>
              <w:top w:val="single" w:sz="4" w:space="0" w:color="auto"/>
            </w:tcBorders>
            <w:vAlign w:val="center"/>
          </w:tcPr>
          <w:p w:rsidR="00194175" w:rsidRPr="004E2C22" w:rsidRDefault="00194175" w:rsidP="0050078D">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4E2C22">
              <w:rPr>
                <w:rFonts w:ascii="Times New Roman" w:hAnsi="Times New Roman" w:cs="Times New Roman"/>
                <w:b/>
                <w:sz w:val="27"/>
                <w:szCs w:val="27"/>
                <w:lang w:eastAsia="ru-RU"/>
              </w:rPr>
              <w:t>Рейтинг результативності</w:t>
            </w:r>
          </w:p>
        </w:tc>
        <w:tc>
          <w:tcPr>
            <w:tcW w:w="2410" w:type="dxa"/>
            <w:gridSpan w:val="2"/>
            <w:tcBorders>
              <w:top w:val="single" w:sz="4" w:space="0" w:color="auto"/>
            </w:tcBorders>
            <w:vAlign w:val="center"/>
          </w:tcPr>
          <w:p w:rsidR="00194175" w:rsidRPr="004E2C22" w:rsidRDefault="00194175" w:rsidP="0050078D">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4E2C22">
              <w:rPr>
                <w:rFonts w:ascii="Times New Roman" w:hAnsi="Times New Roman" w:cs="Times New Roman"/>
                <w:b/>
                <w:sz w:val="27"/>
                <w:szCs w:val="27"/>
                <w:lang w:eastAsia="ru-RU"/>
              </w:rPr>
              <w:t>Вигоди (підсумок)</w:t>
            </w:r>
          </w:p>
        </w:tc>
        <w:tc>
          <w:tcPr>
            <w:tcW w:w="2409" w:type="dxa"/>
            <w:gridSpan w:val="2"/>
            <w:tcBorders>
              <w:top w:val="single" w:sz="4" w:space="0" w:color="auto"/>
            </w:tcBorders>
            <w:vAlign w:val="center"/>
          </w:tcPr>
          <w:p w:rsidR="00194175" w:rsidRPr="004E2C22" w:rsidRDefault="00194175" w:rsidP="0050078D">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4E2C22">
              <w:rPr>
                <w:rFonts w:ascii="Times New Roman" w:hAnsi="Times New Roman" w:cs="Times New Roman"/>
                <w:b/>
                <w:sz w:val="27"/>
                <w:szCs w:val="27"/>
                <w:lang w:eastAsia="ru-RU"/>
              </w:rPr>
              <w:t>Витрати (підсумок)</w:t>
            </w:r>
          </w:p>
        </w:tc>
        <w:tc>
          <w:tcPr>
            <w:tcW w:w="2502" w:type="dxa"/>
            <w:tcBorders>
              <w:top w:val="single" w:sz="4" w:space="0" w:color="auto"/>
            </w:tcBorders>
            <w:vAlign w:val="center"/>
          </w:tcPr>
          <w:p w:rsidR="00194175" w:rsidRPr="00593DEA" w:rsidRDefault="00194175" w:rsidP="0050078D">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4E2C22">
              <w:rPr>
                <w:rFonts w:ascii="Times New Roman" w:hAnsi="Times New Roman" w:cs="Times New Roman"/>
                <w:b/>
                <w:sz w:val="27"/>
                <w:szCs w:val="27"/>
                <w:lang w:eastAsia="ru-RU"/>
              </w:rPr>
              <w:t>Обґрунтування відповідного місця альтернативи у рейтингу</w:t>
            </w:r>
          </w:p>
        </w:tc>
      </w:tr>
      <w:tr w:rsidR="00194175" w:rsidRPr="00593DEA" w:rsidTr="00DA18AB">
        <w:tc>
          <w:tcPr>
            <w:tcW w:w="2439" w:type="dxa"/>
            <w:tcBorders>
              <w:bottom w:val="single" w:sz="4" w:space="0" w:color="auto"/>
            </w:tcBorders>
          </w:tcPr>
          <w:p w:rsidR="00194175" w:rsidRPr="00593DEA" w:rsidRDefault="002D3C6F" w:rsidP="0050078D">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2</w:t>
            </w:r>
          </w:p>
        </w:tc>
        <w:tc>
          <w:tcPr>
            <w:tcW w:w="2410" w:type="dxa"/>
            <w:gridSpan w:val="2"/>
            <w:tcBorders>
              <w:bottom w:val="single" w:sz="4" w:space="0" w:color="auto"/>
            </w:tcBorders>
          </w:tcPr>
          <w:p w:rsidR="001C270C" w:rsidRDefault="00194175" w:rsidP="0050078D">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b/>
                <w:sz w:val="27"/>
                <w:szCs w:val="27"/>
                <w:lang w:eastAsia="ru-RU"/>
              </w:rPr>
              <w:t xml:space="preserve">Для держави: </w:t>
            </w:r>
            <w:r w:rsidRPr="00593DEA">
              <w:rPr>
                <w:rFonts w:ascii="Times New Roman" w:hAnsi="Times New Roman" w:cs="Times New Roman"/>
                <w:bCs/>
                <w:sz w:val="27"/>
                <w:szCs w:val="27"/>
                <w:lang w:eastAsia="ru-RU"/>
              </w:rPr>
              <w:t xml:space="preserve">Приведення </w:t>
            </w:r>
            <w:r w:rsidR="00C85E14">
              <w:rPr>
                <w:rFonts w:ascii="Times New Roman" w:hAnsi="Times New Roman" w:cs="Times New Roman"/>
                <w:bCs/>
                <w:sz w:val="27"/>
                <w:szCs w:val="27"/>
                <w:lang w:eastAsia="ru-RU"/>
              </w:rPr>
              <w:t>Інструкції</w:t>
            </w:r>
            <w:r w:rsidRPr="00593DEA">
              <w:rPr>
                <w:rFonts w:ascii="Times New Roman" w:hAnsi="Times New Roman" w:cs="Times New Roman"/>
                <w:bCs/>
                <w:sz w:val="27"/>
                <w:szCs w:val="27"/>
                <w:lang w:eastAsia="ru-RU"/>
              </w:rPr>
              <w:t xml:space="preserve"> у відповідність до вимог чинного законодавства України</w:t>
            </w:r>
            <w:r w:rsidRPr="00593DEA">
              <w:rPr>
                <w:rFonts w:ascii="Times New Roman" w:hAnsi="Times New Roman" w:cs="Times New Roman"/>
                <w:sz w:val="27"/>
                <w:szCs w:val="27"/>
                <w:lang w:eastAsia="ru-RU"/>
              </w:rPr>
              <w:t>.</w:t>
            </w:r>
          </w:p>
          <w:p w:rsidR="001F06CB" w:rsidRPr="00593DEA" w:rsidRDefault="00194175" w:rsidP="009F4852">
            <w:pPr>
              <w:widowControl w:val="0"/>
              <w:tabs>
                <w:tab w:val="left" w:pos="-3686"/>
                <w:tab w:val="left" w:pos="990"/>
              </w:tabs>
              <w:spacing w:after="0" w:line="240" w:lineRule="auto"/>
              <w:jc w:val="both"/>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Для</w:t>
            </w:r>
            <w:r w:rsidR="002D3C6F">
              <w:rPr>
                <w:rFonts w:ascii="Times New Roman" w:hAnsi="Times New Roman" w:cs="Times New Roman"/>
                <w:b/>
                <w:sz w:val="27"/>
                <w:szCs w:val="27"/>
                <w:lang w:eastAsia="ru-RU"/>
              </w:rPr>
              <w:t xml:space="preserve"> спеціалізованих</w:t>
            </w:r>
            <w:r w:rsidRPr="00593DEA">
              <w:rPr>
                <w:rFonts w:ascii="Times New Roman" w:hAnsi="Times New Roman" w:cs="Times New Roman"/>
                <w:b/>
                <w:sz w:val="27"/>
                <w:szCs w:val="27"/>
                <w:lang w:eastAsia="ru-RU"/>
              </w:rPr>
              <w:t xml:space="preserve"> суб’єктів господарювання: </w:t>
            </w:r>
            <w:r w:rsidRPr="00593DEA">
              <w:rPr>
                <w:rFonts w:ascii="Times New Roman" w:hAnsi="Times New Roman" w:cs="Times New Roman"/>
                <w:bCs/>
                <w:sz w:val="27"/>
                <w:szCs w:val="27"/>
                <w:lang w:eastAsia="ru-RU"/>
              </w:rPr>
              <w:t xml:space="preserve">Приведення </w:t>
            </w:r>
            <w:r w:rsidR="00C85E14">
              <w:rPr>
                <w:rFonts w:ascii="Times New Roman" w:hAnsi="Times New Roman" w:cs="Times New Roman"/>
                <w:bCs/>
                <w:sz w:val="27"/>
                <w:szCs w:val="27"/>
                <w:lang w:eastAsia="ru-RU"/>
              </w:rPr>
              <w:t>Інструкції</w:t>
            </w:r>
            <w:r w:rsidRPr="00593DEA">
              <w:rPr>
                <w:rFonts w:ascii="Times New Roman" w:hAnsi="Times New Roman" w:cs="Times New Roman"/>
                <w:bCs/>
                <w:sz w:val="27"/>
                <w:szCs w:val="27"/>
                <w:lang w:eastAsia="ru-RU"/>
              </w:rPr>
              <w:t xml:space="preserve"> у </w:t>
            </w:r>
            <w:r w:rsidRPr="00593DEA">
              <w:rPr>
                <w:rFonts w:ascii="Times New Roman" w:hAnsi="Times New Roman" w:cs="Times New Roman"/>
                <w:bCs/>
                <w:sz w:val="27"/>
                <w:szCs w:val="27"/>
                <w:lang w:eastAsia="ru-RU"/>
              </w:rPr>
              <w:lastRenderedPageBreak/>
              <w:t xml:space="preserve">відповідність до вимог чинного законодавства України. Забезпечення прав та законних інтересів </w:t>
            </w:r>
            <w:r w:rsidR="00C85E14">
              <w:rPr>
                <w:rFonts w:ascii="Times New Roman" w:hAnsi="Times New Roman" w:cs="Times New Roman"/>
                <w:bCs/>
                <w:sz w:val="27"/>
                <w:szCs w:val="27"/>
                <w:lang w:eastAsia="ru-RU"/>
              </w:rPr>
              <w:t xml:space="preserve">спеціалізованих </w:t>
            </w:r>
            <w:r w:rsidRPr="00593DEA">
              <w:rPr>
                <w:rFonts w:ascii="Times New Roman" w:hAnsi="Times New Roman" w:cs="Times New Roman"/>
                <w:bCs/>
                <w:sz w:val="27"/>
                <w:szCs w:val="27"/>
                <w:lang w:eastAsia="ru-RU"/>
              </w:rPr>
              <w:t>суб’єктів господар</w:t>
            </w:r>
            <w:r w:rsidR="00444271" w:rsidRPr="00593DEA">
              <w:rPr>
                <w:rFonts w:ascii="Times New Roman" w:hAnsi="Times New Roman" w:cs="Times New Roman"/>
                <w:bCs/>
                <w:sz w:val="27"/>
                <w:szCs w:val="27"/>
                <w:lang w:eastAsia="ru-RU"/>
              </w:rPr>
              <w:t>ювання</w:t>
            </w:r>
            <w:r w:rsidR="00C85E14">
              <w:rPr>
                <w:rFonts w:ascii="Times New Roman" w:hAnsi="Times New Roman" w:cs="Times New Roman"/>
                <w:bCs/>
                <w:sz w:val="27"/>
                <w:szCs w:val="27"/>
                <w:lang w:eastAsia="ru-RU"/>
              </w:rPr>
              <w:t xml:space="preserve">, що здійснюють геологорозвіду-вальні роботи, </w:t>
            </w:r>
            <w:r w:rsidR="00C85E14" w:rsidRPr="00331AAE">
              <w:rPr>
                <w:rFonts w:ascii="Times New Roman" w:hAnsi="Times New Roman" w:cs="Times New Roman"/>
                <w:color w:val="000000"/>
                <w:sz w:val="27"/>
                <w:szCs w:val="27"/>
                <w:lang w:eastAsia="uk-UA"/>
              </w:rPr>
              <w:t>які виконуються за кошти державного бюджету</w:t>
            </w:r>
            <w:r w:rsidR="00C85E14">
              <w:rPr>
                <w:rFonts w:ascii="Times New Roman" w:hAnsi="Times New Roman" w:cs="Times New Roman"/>
                <w:color w:val="000000"/>
                <w:sz w:val="27"/>
                <w:szCs w:val="27"/>
                <w:lang w:eastAsia="uk-UA"/>
              </w:rPr>
              <w:t>.</w:t>
            </w:r>
          </w:p>
        </w:tc>
        <w:tc>
          <w:tcPr>
            <w:tcW w:w="2409" w:type="dxa"/>
            <w:gridSpan w:val="2"/>
            <w:tcBorders>
              <w:bottom w:val="single" w:sz="4" w:space="0" w:color="auto"/>
            </w:tcBorders>
          </w:tcPr>
          <w:p w:rsidR="00194175" w:rsidRPr="00593DEA" w:rsidRDefault="00194175" w:rsidP="0050078D">
            <w:pPr>
              <w:widowControl w:val="0"/>
              <w:tabs>
                <w:tab w:val="left" w:pos="990"/>
              </w:tabs>
              <w:spacing w:after="0" w:line="240" w:lineRule="auto"/>
              <w:jc w:val="both"/>
              <w:rPr>
                <w:rFonts w:ascii="Times New Roman" w:hAnsi="Times New Roman" w:cs="Times New Roman"/>
                <w:bCs/>
                <w:sz w:val="27"/>
                <w:szCs w:val="27"/>
                <w:lang w:eastAsia="uk-UA"/>
              </w:rPr>
            </w:pPr>
            <w:r w:rsidRPr="00593DEA">
              <w:rPr>
                <w:rFonts w:ascii="Times New Roman" w:hAnsi="Times New Roman" w:cs="Times New Roman"/>
                <w:b/>
                <w:sz w:val="27"/>
                <w:szCs w:val="27"/>
                <w:lang w:eastAsia="ru-RU"/>
              </w:rPr>
              <w:lastRenderedPageBreak/>
              <w:t>Для держави:</w:t>
            </w:r>
            <w:r w:rsidRPr="00593DEA">
              <w:rPr>
                <w:rFonts w:ascii="Times New Roman" w:hAnsi="Times New Roman" w:cs="Times New Roman"/>
                <w:bCs/>
                <w:sz w:val="27"/>
                <w:szCs w:val="27"/>
                <w:lang w:eastAsia="uk-UA"/>
              </w:rPr>
              <w:t xml:space="preserve"> Відсутні. </w:t>
            </w:r>
          </w:p>
          <w:p w:rsidR="00194175" w:rsidRPr="00593DEA" w:rsidRDefault="00194175" w:rsidP="0050078D">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50078D">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50078D">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50078D">
            <w:pPr>
              <w:widowControl w:val="0"/>
              <w:tabs>
                <w:tab w:val="left" w:pos="990"/>
              </w:tabs>
              <w:spacing w:after="0" w:line="240" w:lineRule="auto"/>
              <w:jc w:val="both"/>
              <w:rPr>
                <w:rFonts w:ascii="Times New Roman" w:hAnsi="Times New Roman" w:cs="Times New Roman"/>
                <w:bCs/>
                <w:sz w:val="27"/>
                <w:szCs w:val="27"/>
                <w:lang w:eastAsia="uk-UA"/>
              </w:rPr>
            </w:pPr>
          </w:p>
          <w:p w:rsidR="00194175" w:rsidRDefault="00194175" w:rsidP="0050078D">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5F67ED">
            <w:pPr>
              <w:widowControl w:val="0"/>
              <w:tabs>
                <w:tab w:val="left" w:pos="990"/>
              </w:tabs>
              <w:spacing w:after="0" w:line="240" w:lineRule="auto"/>
              <w:jc w:val="both"/>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 xml:space="preserve">Для </w:t>
            </w:r>
            <w:r w:rsidR="002D3C6F">
              <w:rPr>
                <w:rFonts w:ascii="Times New Roman" w:hAnsi="Times New Roman" w:cs="Times New Roman"/>
                <w:b/>
                <w:sz w:val="27"/>
                <w:szCs w:val="27"/>
                <w:lang w:eastAsia="ru-RU"/>
              </w:rPr>
              <w:t xml:space="preserve">спеціалізованих </w:t>
            </w:r>
            <w:r w:rsidRPr="00593DEA">
              <w:rPr>
                <w:rFonts w:ascii="Times New Roman" w:hAnsi="Times New Roman" w:cs="Times New Roman"/>
                <w:b/>
                <w:sz w:val="27"/>
                <w:szCs w:val="27"/>
                <w:lang w:eastAsia="ru-RU"/>
              </w:rPr>
              <w:t>суб’єктів господарювання:</w:t>
            </w:r>
            <w:r w:rsidR="005F67ED" w:rsidRPr="00593DEA">
              <w:rPr>
                <w:rFonts w:ascii="Times New Roman" w:hAnsi="Times New Roman" w:cs="Times New Roman"/>
                <w:bCs/>
                <w:sz w:val="27"/>
                <w:szCs w:val="27"/>
                <w:lang w:eastAsia="uk-UA"/>
              </w:rPr>
              <w:t xml:space="preserve"> Відсутні.</w:t>
            </w:r>
          </w:p>
        </w:tc>
        <w:tc>
          <w:tcPr>
            <w:tcW w:w="2502" w:type="dxa"/>
            <w:tcBorders>
              <w:bottom w:val="single" w:sz="4" w:space="0" w:color="auto"/>
            </w:tcBorders>
          </w:tcPr>
          <w:p w:rsidR="00194175" w:rsidRPr="00593DEA" w:rsidRDefault="00194175" w:rsidP="0050078D">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Ця альтернатива вирішує описані проблеми та сприяє досягненню встановлених цілей.</w:t>
            </w:r>
          </w:p>
        </w:tc>
      </w:tr>
      <w:tr w:rsidR="00194175" w:rsidRPr="00593DEA" w:rsidTr="00DA18AB">
        <w:tc>
          <w:tcPr>
            <w:tcW w:w="2439" w:type="dxa"/>
            <w:tcBorders>
              <w:bottom w:val="single" w:sz="4" w:space="0" w:color="auto"/>
            </w:tcBorders>
            <w:vAlign w:val="center"/>
          </w:tcPr>
          <w:p w:rsidR="00194175" w:rsidRPr="00593DEA" w:rsidRDefault="002D3C6F" w:rsidP="0050078D">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1</w:t>
            </w:r>
          </w:p>
        </w:tc>
        <w:tc>
          <w:tcPr>
            <w:tcW w:w="2410" w:type="dxa"/>
            <w:gridSpan w:val="2"/>
            <w:tcBorders>
              <w:bottom w:val="single" w:sz="4" w:space="0" w:color="auto"/>
            </w:tcBorders>
          </w:tcPr>
          <w:p w:rsidR="00194175" w:rsidRPr="00593DEA" w:rsidRDefault="00194175" w:rsidP="0050078D">
            <w:pPr>
              <w:widowControl w:val="0"/>
              <w:tabs>
                <w:tab w:val="left" w:pos="990"/>
              </w:tabs>
              <w:spacing w:after="0" w:line="240" w:lineRule="auto"/>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 xml:space="preserve">Для держави: </w:t>
            </w:r>
            <w:r w:rsidRPr="00593DEA">
              <w:rPr>
                <w:rFonts w:ascii="Times New Roman" w:hAnsi="Times New Roman" w:cs="Times New Roman"/>
                <w:sz w:val="27"/>
                <w:szCs w:val="27"/>
                <w:lang w:eastAsia="uk-UA"/>
              </w:rPr>
              <w:t>Відсутні.</w:t>
            </w:r>
          </w:p>
          <w:p w:rsidR="005F67ED" w:rsidRDefault="005F67ED"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5F67ED" w:rsidRDefault="005F67ED"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5F67ED" w:rsidRDefault="005F67ED"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5F67ED" w:rsidRDefault="005F67ED"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5F67ED" w:rsidRDefault="005F67ED"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5F67ED" w:rsidRDefault="005F67ED"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DA18AB" w:rsidRDefault="00DA18AB"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194175" w:rsidRPr="00593DEA" w:rsidRDefault="00194175" w:rsidP="0050078D">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 xml:space="preserve">Для </w:t>
            </w:r>
            <w:r w:rsidR="002D3C6F">
              <w:rPr>
                <w:rFonts w:ascii="Times New Roman" w:hAnsi="Times New Roman" w:cs="Times New Roman"/>
                <w:b/>
                <w:bCs/>
                <w:sz w:val="27"/>
                <w:szCs w:val="27"/>
                <w:lang w:eastAsia="uk-UA"/>
              </w:rPr>
              <w:t xml:space="preserve">спеціалізованих </w:t>
            </w:r>
            <w:r w:rsidRPr="00593DEA">
              <w:rPr>
                <w:rFonts w:ascii="Times New Roman" w:hAnsi="Times New Roman" w:cs="Times New Roman"/>
                <w:b/>
                <w:bCs/>
                <w:sz w:val="27"/>
                <w:szCs w:val="27"/>
                <w:lang w:eastAsia="uk-UA"/>
              </w:rPr>
              <w:t xml:space="preserve">суб’єктів господарювання: </w:t>
            </w:r>
            <w:r w:rsidRPr="00593DEA">
              <w:rPr>
                <w:rFonts w:ascii="Times New Roman" w:hAnsi="Times New Roman" w:cs="Times New Roman"/>
                <w:sz w:val="27"/>
                <w:szCs w:val="27"/>
                <w:lang w:eastAsia="uk-UA"/>
              </w:rPr>
              <w:t>Відсутні</w:t>
            </w:r>
          </w:p>
        </w:tc>
        <w:tc>
          <w:tcPr>
            <w:tcW w:w="2409" w:type="dxa"/>
            <w:gridSpan w:val="2"/>
            <w:tcBorders>
              <w:bottom w:val="single" w:sz="4" w:space="0" w:color="auto"/>
            </w:tcBorders>
            <w:vAlign w:val="center"/>
          </w:tcPr>
          <w:p w:rsidR="00194175" w:rsidRPr="00593DEA" w:rsidRDefault="00194175" w:rsidP="0050078D">
            <w:pPr>
              <w:widowControl w:val="0"/>
              <w:tabs>
                <w:tab w:val="left" w:pos="-3686"/>
                <w:tab w:val="left" w:pos="990"/>
              </w:tabs>
              <w:spacing w:after="0" w:line="240" w:lineRule="auto"/>
              <w:rPr>
                <w:rFonts w:ascii="Times New Roman" w:hAnsi="Times New Roman" w:cs="Times New Roman"/>
                <w:b/>
                <w:bCs/>
                <w:sz w:val="27"/>
                <w:szCs w:val="27"/>
                <w:lang w:eastAsia="ru-RU"/>
              </w:rPr>
            </w:pPr>
            <w:r w:rsidRPr="00593DEA">
              <w:rPr>
                <w:rFonts w:ascii="Times New Roman" w:hAnsi="Times New Roman" w:cs="Times New Roman"/>
                <w:b/>
                <w:bCs/>
                <w:sz w:val="27"/>
                <w:szCs w:val="27"/>
                <w:lang w:eastAsia="ru-RU"/>
              </w:rPr>
              <w:t xml:space="preserve">Для держави: </w:t>
            </w:r>
            <w:r w:rsidR="005F67ED">
              <w:rPr>
                <w:rStyle w:val="1"/>
                <w:sz w:val="27"/>
                <w:szCs w:val="27"/>
              </w:rPr>
              <w:t>Н</w:t>
            </w:r>
            <w:r w:rsidR="005F67ED" w:rsidRPr="00593DEA">
              <w:rPr>
                <w:rStyle w:val="1"/>
                <w:sz w:val="27"/>
                <w:szCs w:val="27"/>
              </w:rPr>
              <w:t>е</w:t>
            </w:r>
            <w:r w:rsidR="005F67ED" w:rsidRPr="00593DEA">
              <w:rPr>
                <w:rFonts w:ascii="Times New Roman" w:hAnsi="Times New Roman" w:cs="Times New Roman"/>
                <w:sz w:val="27"/>
                <w:szCs w:val="27"/>
                <w:shd w:val="clear" w:color="auto" w:fill="FFFFFF"/>
                <w:lang w:eastAsia="uk-UA"/>
              </w:rPr>
              <w:t>виконання вимог</w:t>
            </w:r>
            <w:r w:rsidR="005F67ED">
              <w:rPr>
                <w:rFonts w:ascii="Times New Roman" w:hAnsi="Times New Roman" w:cs="Times New Roman"/>
                <w:sz w:val="27"/>
                <w:szCs w:val="27"/>
                <w:shd w:val="clear" w:color="auto" w:fill="FFFFFF"/>
                <w:lang w:eastAsia="uk-UA"/>
              </w:rPr>
              <w:t xml:space="preserve"> постанов Кабінету Міністрів України</w:t>
            </w:r>
            <w:r w:rsidR="005F67ED" w:rsidRPr="00593DEA">
              <w:rPr>
                <w:rFonts w:ascii="Times New Roman" w:hAnsi="Times New Roman" w:cs="Times New Roman"/>
                <w:sz w:val="27"/>
                <w:szCs w:val="27"/>
                <w:shd w:val="clear" w:color="auto" w:fill="FFFFFF"/>
                <w:lang w:eastAsia="uk-UA"/>
              </w:rPr>
              <w:t xml:space="preserve"> </w:t>
            </w:r>
            <w:r w:rsidR="005F67ED" w:rsidRPr="004A2373">
              <w:rPr>
                <w:rFonts w:ascii="Times New Roman" w:hAnsi="Times New Roman" w:cs="Times New Roman"/>
                <w:sz w:val="27"/>
                <w:szCs w:val="27"/>
                <w:shd w:val="clear" w:color="auto" w:fill="FFFFFF"/>
                <w:lang w:eastAsia="uk-UA"/>
              </w:rPr>
              <w:t>від 28 лютого 2011 року № 301 та від 25 січня 1999 року № 83.</w:t>
            </w:r>
          </w:p>
          <w:p w:rsidR="009F4852" w:rsidRPr="00593DEA" w:rsidRDefault="00194175" w:rsidP="00DA18AB">
            <w:pPr>
              <w:widowControl w:val="0"/>
              <w:tabs>
                <w:tab w:val="left" w:pos="-3686"/>
                <w:tab w:val="left" w:pos="990"/>
              </w:tabs>
              <w:spacing w:after="0" w:line="240" w:lineRule="auto"/>
              <w:rPr>
                <w:rFonts w:ascii="Times New Roman" w:hAnsi="Times New Roman" w:cs="Times New Roman"/>
                <w:b/>
                <w:bCs/>
                <w:sz w:val="27"/>
                <w:szCs w:val="27"/>
                <w:lang w:eastAsia="ru-RU"/>
              </w:rPr>
            </w:pPr>
            <w:r w:rsidRPr="00593DEA">
              <w:rPr>
                <w:rFonts w:ascii="Times New Roman" w:hAnsi="Times New Roman" w:cs="Times New Roman"/>
                <w:b/>
                <w:sz w:val="27"/>
                <w:szCs w:val="27"/>
                <w:lang w:eastAsia="ru-RU"/>
              </w:rPr>
              <w:t>Для</w:t>
            </w:r>
            <w:r w:rsidR="002D3C6F">
              <w:rPr>
                <w:rFonts w:ascii="Times New Roman" w:hAnsi="Times New Roman" w:cs="Times New Roman"/>
                <w:b/>
                <w:sz w:val="27"/>
                <w:szCs w:val="27"/>
                <w:lang w:eastAsia="ru-RU"/>
              </w:rPr>
              <w:t xml:space="preserve"> спеціалізованих</w:t>
            </w:r>
            <w:r w:rsidRPr="00593DEA">
              <w:rPr>
                <w:rFonts w:ascii="Times New Roman" w:hAnsi="Times New Roman" w:cs="Times New Roman"/>
                <w:b/>
                <w:sz w:val="27"/>
                <w:szCs w:val="27"/>
                <w:lang w:eastAsia="ru-RU"/>
              </w:rPr>
              <w:t xml:space="preserve"> суб’єктів господарювання</w:t>
            </w:r>
            <w:r w:rsidRPr="00593DEA">
              <w:rPr>
                <w:rFonts w:ascii="Times New Roman" w:hAnsi="Times New Roman" w:cs="Times New Roman"/>
                <w:b/>
                <w:bCs/>
                <w:sz w:val="27"/>
                <w:szCs w:val="27"/>
                <w:lang w:eastAsia="ru-RU"/>
              </w:rPr>
              <w:t>:</w:t>
            </w:r>
            <w:r w:rsidR="002D3C6F" w:rsidRPr="00593DEA">
              <w:rPr>
                <w:rStyle w:val="1"/>
                <w:sz w:val="27"/>
                <w:szCs w:val="27"/>
              </w:rPr>
              <w:t xml:space="preserve"> </w:t>
            </w:r>
            <w:r w:rsidR="002D3C6F">
              <w:rPr>
                <w:rStyle w:val="1"/>
                <w:sz w:val="27"/>
                <w:szCs w:val="27"/>
              </w:rPr>
              <w:t>Н</w:t>
            </w:r>
            <w:r w:rsidR="002D3C6F" w:rsidRPr="00593DEA">
              <w:rPr>
                <w:rStyle w:val="1"/>
                <w:sz w:val="27"/>
                <w:szCs w:val="27"/>
              </w:rPr>
              <w:t>е</w:t>
            </w:r>
            <w:r w:rsidR="002D3C6F" w:rsidRPr="00593DEA">
              <w:rPr>
                <w:rFonts w:ascii="Times New Roman" w:hAnsi="Times New Roman" w:cs="Times New Roman"/>
                <w:sz w:val="27"/>
                <w:szCs w:val="27"/>
                <w:shd w:val="clear" w:color="auto" w:fill="FFFFFF"/>
                <w:lang w:eastAsia="uk-UA"/>
              </w:rPr>
              <w:t>виконання вимог</w:t>
            </w:r>
            <w:r w:rsidR="002D3C6F">
              <w:rPr>
                <w:rFonts w:ascii="Times New Roman" w:hAnsi="Times New Roman" w:cs="Times New Roman"/>
                <w:sz w:val="27"/>
                <w:szCs w:val="27"/>
                <w:shd w:val="clear" w:color="auto" w:fill="FFFFFF"/>
                <w:lang w:eastAsia="uk-UA"/>
              </w:rPr>
              <w:t xml:space="preserve"> постанов Кабінету Міністрів України</w:t>
            </w:r>
            <w:r w:rsidR="002D3C6F" w:rsidRPr="00593DEA">
              <w:rPr>
                <w:rFonts w:ascii="Times New Roman" w:hAnsi="Times New Roman" w:cs="Times New Roman"/>
                <w:sz w:val="27"/>
                <w:szCs w:val="27"/>
                <w:shd w:val="clear" w:color="auto" w:fill="FFFFFF"/>
                <w:lang w:eastAsia="uk-UA"/>
              </w:rPr>
              <w:t xml:space="preserve"> </w:t>
            </w:r>
            <w:r w:rsidR="002D3C6F" w:rsidRPr="004A2373">
              <w:rPr>
                <w:rFonts w:ascii="Times New Roman" w:hAnsi="Times New Roman" w:cs="Times New Roman"/>
                <w:sz w:val="27"/>
                <w:szCs w:val="27"/>
                <w:shd w:val="clear" w:color="auto" w:fill="FFFFFF"/>
                <w:lang w:eastAsia="uk-UA"/>
              </w:rPr>
              <w:t>від 28 лютого 2011 року № 301 та від 25 січня 1999 року № 83.</w:t>
            </w:r>
          </w:p>
        </w:tc>
        <w:tc>
          <w:tcPr>
            <w:tcW w:w="2502" w:type="dxa"/>
            <w:tcBorders>
              <w:bottom w:val="single" w:sz="4" w:space="0" w:color="auto"/>
            </w:tcBorders>
            <w:vAlign w:val="center"/>
          </w:tcPr>
          <w:p w:rsidR="00194175" w:rsidRPr="00593DEA" w:rsidRDefault="00194175" w:rsidP="0050078D">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не сприятиме досягненню цілей держав</w:t>
            </w:r>
            <w:r w:rsidR="002D3C6F">
              <w:rPr>
                <w:rFonts w:ascii="Times New Roman" w:hAnsi="Times New Roman" w:cs="Times New Roman"/>
                <w:sz w:val="27"/>
                <w:szCs w:val="27"/>
                <w:lang w:eastAsia="ru-RU"/>
              </w:rPr>
              <w:t>ної політики у сфері геологічного вивчення та раціонального використання надр</w:t>
            </w:r>
            <w:r w:rsidRPr="00593DEA">
              <w:rPr>
                <w:rFonts w:ascii="Times New Roman" w:hAnsi="Times New Roman" w:cs="Times New Roman"/>
                <w:sz w:val="27"/>
                <w:szCs w:val="27"/>
                <w:lang w:eastAsia="ru-RU"/>
              </w:rPr>
              <w:t>.</w:t>
            </w:r>
          </w:p>
          <w:p w:rsidR="00194175" w:rsidRPr="00593DEA" w:rsidRDefault="00194175" w:rsidP="0050078D">
            <w:pPr>
              <w:widowControl w:val="0"/>
              <w:tabs>
                <w:tab w:val="left" w:pos="-3686"/>
                <w:tab w:val="left" w:pos="990"/>
              </w:tabs>
              <w:spacing w:after="0" w:line="240" w:lineRule="auto"/>
              <w:jc w:val="both"/>
              <w:rPr>
                <w:rFonts w:ascii="Times New Roman" w:hAnsi="Times New Roman" w:cs="Times New Roman"/>
                <w:sz w:val="27"/>
                <w:szCs w:val="27"/>
                <w:lang w:eastAsia="ru-RU"/>
              </w:rPr>
            </w:pPr>
          </w:p>
          <w:p w:rsidR="00194175" w:rsidRPr="00593DEA" w:rsidRDefault="00194175" w:rsidP="0050078D">
            <w:pPr>
              <w:widowControl w:val="0"/>
              <w:tabs>
                <w:tab w:val="left" w:pos="-3686"/>
                <w:tab w:val="left" w:pos="990"/>
              </w:tabs>
              <w:spacing w:after="0" w:line="240" w:lineRule="auto"/>
              <w:jc w:val="both"/>
              <w:rPr>
                <w:rFonts w:ascii="Times New Roman" w:hAnsi="Times New Roman" w:cs="Times New Roman"/>
                <w:sz w:val="27"/>
                <w:szCs w:val="27"/>
                <w:lang w:eastAsia="ru-RU"/>
              </w:rPr>
            </w:pPr>
          </w:p>
          <w:p w:rsidR="00194175" w:rsidRPr="00593DEA" w:rsidRDefault="00194175" w:rsidP="0050078D">
            <w:pPr>
              <w:widowControl w:val="0"/>
              <w:tabs>
                <w:tab w:val="left" w:pos="-3686"/>
                <w:tab w:val="left" w:pos="990"/>
              </w:tabs>
              <w:spacing w:after="0" w:line="240" w:lineRule="auto"/>
              <w:jc w:val="both"/>
              <w:rPr>
                <w:rFonts w:ascii="Times New Roman" w:hAnsi="Times New Roman" w:cs="Times New Roman"/>
                <w:sz w:val="27"/>
                <w:szCs w:val="27"/>
                <w:lang w:eastAsia="ru-RU"/>
              </w:rPr>
            </w:pPr>
          </w:p>
          <w:p w:rsidR="00194175" w:rsidRPr="00593DEA" w:rsidRDefault="00194175" w:rsidP="0050078D">
            <w:pPr>
              <w:widowControl w:val="0"/>
              <w:tabs>
                <w:tab w:val="left" w:pos="-3686"/>
                <w:tab w:val="left" w:pos="990"/>
              </w:tabs>
              <w:spacing w:after="0" w:line="240" w:lineRule="auto"/>
              <w:jc w:val="both"/>
              <w:rPr>
                <w:rFonts w:ascii="Times New Roman" w:hAnsi="Times New Roman" w:cs="Times New Roman"/>
                <w:sz w:val="27"/>
                <w:szCs w:val="27"/>
                <w:lang w:eastAsia="ru-RU"/>
              </w:rPr>
            </w:pPr>
          </w:p>
        </w:tc>
      </w:tr>
      <w:tr w:rsidR="002D3C6F" w:rsidRPr="00593DEA" w:rsidTr="00DA18AB">
        <w:tc>
          <w:tcPr>
            <w:tcW w:w="2439" w:type="dxa"/>
            <w:tcBorders>
              <w:bottom w:val="single" w:sz="4" w:space="0" w:color="auto"/>
            </w:tcBorders>
            <w:vAlign w:val="center"/>
          </w:tcPr>
          <w:p w:rsidR="002D3C6F" w:rsidRPr="00593DEA" w:rsidRDefault="002D3C6F" w:rsidP="002D3C6F">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3</w:t>
            </w:r>
          </w:p>
        </w:tc>
        <w:tc>
          <w:tcPr>
            <w:tcW w:w="2410" w:type="dxa"/>
            <w:gridSpan w:val="2"/>
            <w:tcBorders>
              <w:bottom w:val="single" w:sz="4" w:space="0" w:color="auto"/>
            </w:tcBorders>
          </w:tcPr>
          <w:p w:rsidR="002D3C6F" w:rsidRPr="00593DEA" w:rsidRDefault="002D3C6F" w:rsidP="002D3C6F">
            <w:pPr>
              <w:widowControl w:val="0"/>
              <w:tabs>
                <w:tab w:val="left" w:pos="990"/>
              </w:tabs>
              <w:spacing w:after="0" w:line="240" w:lineRule="auto"/>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 xml:space="preserve">Для держави: </w:t>
            </w:r>
            <w:r w:rsidRPr="00593DEA">
              <w:rPr>
                <w:rFonts w:ascii="Times New Roman" w:hAnsi="Times New Roman" w:cs="Times New Roman"/>
                <w:sz w:val="27"/>
                <w:szCs w:val="27"/>
                <w:lang w:eastAsia="uk-UA"/>
              </w:rPr>
              <w:t>Відсутні.</w:t>
            </w:r>
          </w:p>
          <w:p w:rsidR="002D3C6F" w:rsidRDefault="002D3C6F"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2D3C6F" w:rsidRDefault="002D3C6F"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2D3C6F" w:rsidRDefault="002D3C6F"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2D3C6F" w:rsidRDefault="002D3C6F"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DA18AB" w:rsidRDefault="00DA18AB"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2D3C6F" w:rsidRDefault="002D3C6F"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9F4852" w:rsidRDefault="009F4852"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p>
          <w:p w:rsidR="002D3C6F" w:rsidRPr="00593DEA" w:rsidRDefault="002D3C6F" w:rsidP="002D3C6F">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lastRenderedPageBreak/>
              <w:t xml:space="preserve">Для </w:t>
            </w:r>
            <w:r>
              <w:rPr>
                <w:rFonts w:ascii="Times New Roman" w:hAnsi="Times New Roman" w:cs="Times New Roman"/>
                <w:b/>
                <w:bCs/>
                <w:sz w:val="27"/>
                <w:szCs w:val="27"/>
                <w:lang w:eastAsia="uk-UA"/>
              </w:rPr>
              <w:t xml:space="preserve">спеціалізованих </w:t>
            </w:r>
            <w:r w:rsidRPr="00593DEA">
              <w:rPr>
                <w:rFonts w:ascii="Times New Roman" w:hAnsi="Times New Roman" w:cs="Times New Roman"/>
                <w:b/>
                <w:bCs/>
                <w:sz w:val="27"/>
                <w:szCs w:val="27"/>
                <w:lang w:eastAsia="uk-UA"/>
              </w:rPr>
              <w:t xml:space="preserve">суб’єктів господарювання: </w:t>
            </w:r>
            <w:r w:rsidRPr="00593DEA">
              <w:rPr>
                <w:rFonts w:ascii="Times New Roman" w:hAnsi="Times New Roman" w:cs="Times New Roman"/>
                <w:sz w:val="27"/>
                <w:szCs w:val="27"/>
                <w:lang w:eastAsia="uk-UA"/>
              </w:rPr>
              <w:t>Відсутні</w:t>
            </w:r>
          </w:p>
        </w:tc>
        <w:tc>
          <w:tcPr>
            <w:tcW w:w="2409" w:type="dxa"/>
            <w:gridSpan w:val="2"/>
            <w:tcBorders>
              <w:bottom w:val="single" w:sz="4" w:space="0" w:color="auto"/>
            </w:tcBorders>
            <w:vAlign w:val="center"/>
          </w:tcPr>
          <w:p w:rsidR="002D3C6F" w:rsidRDefault="002D3C6F" w:rsidP="002D3C6F">
            <w:pPr>
              <w:widowControl w:val="0"/>
              <w:tabs>
                <w:tab w:val="left" w:pos="-3686"/>
                <w:tab w:val="left" w:pos="990"/>
              </w:tabs>
              <w:spacing w:after="0" w:line="240" w:lineRule="auto"/>
              <w:rPr>
                <w:rFonts w:ascii="Times New Roman" w:hAnsi="Times New Roman" w:cs="Times New Roman"/>
                <w:sz w:val="27"/>
                <w:szCs w:val="27"/>
                <w:shd w:val="clear" w:color="auto" w:fill="FFFFFF"/>
                <w:lang w:eastAsia="uk-UA"/>
              </w:rPr>
            </w:pPr>
            <w:r w:rsidRPr="00593DEA">
              <w:rPr>
                <w:rFonts w:ascii="Times New Roman" w:hAnsi="Times New Roman" w:cs="Times New Roman"/>
                <w:b/>
                <w:bCs/>
                <w:sz w:val="27"/>
                <w:szCs w:val="27"/>
                <w:lang w:eastAsia="ru-RU"/>
              </w:rPr>
              <w:lastRenderedPageBreak/>
              <w:t xml:space="preserve">Для держави: </w:t>
            </w:r>
            <w:r>
              <w:rPr>
                <w:rStyle w:val="1"/>
                <w:sz w:val="27"/>
                <w:szCs w:val="27"/>
              </w:rPr>
              <w:t>Н</w:t>
            </w:r>
            <w:r w:rsidRPr="00593DEA">
              <w:rPr>
                <w:rStyle w:val="1"/>
                <w:sz w:val="27"/>
                <w:szCs w:val="27"/>
              </w:rPr>
              <w:t>е</w:t>
            </w:r>
            <w:r w:rsidRPr="00593DEA">
              <w:rPr>
                <w:rFonts w:ascii="Times New Roman" w:hAnsi="Times New Roman" w:cs="Times New Roman"/>
                <w:sz w:val="27"/>
                <w:szCs w:val="27"/>
                <w:shd w:val="clear" w:color="auto" w:fill="FFFFFF"/>
                <w:lang w:eastAsia="uk-UA"/>
              </w:rPr>
              <w:t>виконання вимог</w:t>
            </w:r>
            <w:r>
              <w:rPr>
                <w:rFonts w:ascii="Times New Roman" w:hAnsi="Times New Roman" w:cs="Times New Roman"/>
                <w:sz w:val="27"/>
                <w:szCs w:val="27"/>
                <w:shd w:val="clear" w:color="auto" w:fill="FFFFFF"/>
                <w:lang w:eastAsia="uk-UA"/>
              </w:rPr>
              <w:t xml:space="preserve"> постанов Кабінету Міністрів України</w:t>
            </w:r>
            <w:r w:rsidRPr="00593DEA">
              <w:rPr>
                <w:rFonts w:ascii="Times New Roman" w:hAnsi="Times New Roman" w:cs="Times New Roman"/>
                <w:sz w:val="27"/>
                <w:szCs w:val="27"/>
                <w:shd w:val="clear" w:color="auto" w:fill="FFFFFF"/>
                <w:lang w:eastAsia="uk-UA"/>
              </w:rPr>
              <w:t xml:space="preserve"> </w:t>
            </w:r>
            <w:r w:rsidRPr="004A2373">
              <w:rPr>
                <w:rFonts w:ascii="Times New Roman" w:hAnsi="Times New Roman" w:cs="Times New Roman"/>
                <w:sz w:val="27"/>
                <w:szCs w:val="27"/>
                <w:shd w:val="clear" w:color="auto" w:fill="FFFFFF"/>
                <w:lang w:eastAsia="uk-UA"/>
              </w:rPr>
              <w:t>від 28 лютого 2011 року № 301 та від 25 січня 1999 року № 83.</w:t>
            </w:r>
          </w:p>
          <w:p w:rsidR="002D3C6F" w:rsidRDefault="002D3C6F" w:rsidP="002D3C6F">
            <w:pPr>
              <w:widowControl w:val="0"/>
              <w:tabs>
                <w:tab w:val="left" w:pos="-3686"/>
                <w:tab w:val="left" w:pos="990"/>
              </w:tabs>
              <w:spacing w:after="0" w:line="240" w:lineRule="auto"/>
              <w:rPr>
                <w:rFonts w:ascii="Times New Roman" w:hAnsi="Times New Roman" w:cs="Times New Roman"/>
                <w:sz w:val="27"/>
                <w:szCs w:val="27"/>
                <w:shd w:val="clear" w:color="auto" w:fill="FFFFFF"/>
                <w:lang w:eastAsia="uk-UA"/>
              </w:rPr>
            </w:pPr>
            <w:r w:rsidRPr="00593DEA">
              <w:rPr>
                <w:rFonts w:ascii="Times New Roman" w:hAnsi="Times New Roman" w:cs="Times New Roman"/>
                <w:b/>
                <w:sz w:val="27"/>
                <w:szCs w:val="27"/>
                <w:lang w:eastAsia="ru-RU"/>
              </w:rPr>
              <w:lastRenderedPageBreak/>
              <w:t xml:space="preserve">Для </w:t>
            </w:r>
            <w:r>
              <w:rPr>
                <w:rFonts w:ascii="Times New Roman" w:hAnsi="Times New Roman" w:cs="Times New Roman"/>
                <w:b/>
                <w:sz w:val="27"/>
                <w:szCs w:val="27"/>
                <w:lang w:eastAsia="ru-RU"/>
              </w:rPr>
              <w:t xml:space="preserve">спеціалізованих </w:t>
            </w:r>
            <w:r w:rsidRPr="00593DEA">
              <w:rPr>
                <w:rFonts w:ascii="Times New Roman" w:hAnsi="Times New Roman" w:cs="Times New Roman"/>
                <w:b/>
                <w:sz w:val="27"/>
                <w:szCs w:val="27"/>
                <w:lang w:eastAsia="ru-RU"/>
              </w:rPr>
              <w:t>суб’єктів господарювання</w:t>
            </w:r>
            <w:r w:rsidRPr="00593DEA">
              <w:rPr>
                <w:rFonts w:ascii="Times New Roman" w:hAnsi="Times New Roman" w:cs="Times New Roman"/>
                <w:b/>
                <w:bCs/>
                <w:sz w:val="27"/>
                <w:szCs w:val="27"/>
                <w:lang w:eastAsia="ru-RU"/>
              </w:rPr>
              <w:t>:</w:t>
            </w:r>
            <w:r w:rsidRPr="00593DEA">
              <w:rPr>
                <w:rStyle w:val="1"/>
                <w:sz w:val="27"/>
                <w:szCs w:val="27"/>
              </w:rPr>
              <w:t xml:space="preserve"> </w:t>
            </w:r>
            <w:r>
              <w:rPr>
                <w:rStyle w:val="1"/>
                <w:sz w:val="27"/>
                <w:szCs w:val="27"/>
              </w:rPr>
              <w:t>Н</w:t>
            </w:r>
            <w:r w:rsidRPr="00593DEA">
              <w:rPr>
                <w:rStyle w:val="1"/>
                <w:sz w:val="27"/>
                <w:szCs w:val="27"/>
              </w:rPr>
              <w:t>е</w:t>
            </w:r>
            <w:r w:rsidRPr="00593DEA">
              <w:rPr>
                <w:rFonts w:ascii="Times New Roman" w:hAnsi="Times New Roman" w:cs="Times New Roman"/>
                <w:sz w:val="27"/>
                <w:szCs w:val="27"/>
                <w:shd w:val="clear" w:color="auto" w:fill="FFFFFF"/>
                <w:lang w:eastAsia="uk-UA"/>
              </w:rPr>
              <w:t>виконання вимог</w:t>
            </w:r>
            <w:r>
              <w:rPr>
                <w:rFonts w:ascii="Times New Roman" w:hAnsi="Times New Roman" w:cs="Times New Roman"/>
                <w:sz w:val="27"/>
                <w:szCs w:val="27"/>
                <w:shd w:val="clear" w:color="auto" w:fill="FFFFFF"/>
                <w:lang w:eastAsia="uk-UA"/>
              </w:rPr>
              <w:t xml:space="preserve"> постанов Кабінету Міністрів України</w:t>
            </w:r>
            <w:r w:rsidRPr="00593DEA">
              <w:rPr>
                <w:rFonts w:ascii="Times New Roman" w:hAnsi="Times New Roman" w:cs="Times New Roman"/>
                <w:sz w:val="27"/>
                <w:szCs w:val="27"/>
                <w:shd w:val="clear" w:color="auto" w:fill="FFFFFF"/>
                <w:lang w:eastAsia="uk-UA"/>
              </w:rPr>
              <w:t xml:space="preserve"> </w:t>
            </w:r>
            <w:r w:rsidRPr="004A2373">
              <w:rPr>
                <w:rFonts w:ascii="Times New Roman" w:hAnsi="Times New Roman" w:cs="Times New Roman"/>
                <w:sz w:val="27"/>
                <w:szCs w:val="27"/>
                <w:shd w:val="clear" w:color="auto" w:fill="FFFFFF"/>
                <w:lang w:eastAsia="uk-UA"/>
              </w:rPr>
              <w:t>від 28 лютого 2011 року № 301 та від 25 січня 1999 року № 83.</w:t>
            </w:r>
          </w:p>
          <w:p w:rsidR="00DA18AB" w:rsidRPr="00593DEA" w:rsidRDefault="00DA18AB" w:rsidP="002D3C6F">
            <w:pPr>
              <w:widowControl w:val="0"/>
              <w:tabs>
                <w:tab w:val="left" w:pos="-3686"/>
                <w:tab w:val="left" w:pos="990"/>
              </w:tabs>
              <w:spacing w:after="0" w:line="240" w:lineRule="auto"/>
              <w:rPr>
                <w:rFonts w:ascii="Times New Roman" w:hAnsi="Times New Roman" w:cs="Times New Roman"/>
                <w:b/>
                <w:bCs/>
                <w:sz w:val="27"/>
                <w:szCs w:val="27"/>
                <w:lang w:eastAsia="ru-RU"/>
              </w:rPr>
            </w:pPr>
          </w:p>
        </w:tc>
        <w:tc>
          <w:tcPr>
            <w:tcW w:w="2502" w:type="dxa"/>
            <w:tcBorders>
              <w:bottom w:val="single" w:sz="4" w:space="0" w:color="auto"/>
            </w:tcBorders>
          </w:tcPr>
          <w:p w:rsidR="002D3C6F" w:rsidRPr="00593DEA" w:rsidRDefault="002D3C6F" w:rsidP="002D3C6F">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lastRenderedPageBreak/>
              <w:t xml:space="preserve">Альтернатива не </w:t>
            </w:r>
            <w:r>
              <w:rPr>
                <w:rFonts w:ascii="Times New Roman" w:hAnsi="Times New Roman" w:cs="Times New Roman"/>
                <w:sz w:val="27"/>
                <w:szCs w:val="27"/>
                <w:lang w:eastAsia="ru-RU"/>
              </w:rPr>
              <w:t xml:space="preserve">вирішить </w:t>
            </w:r>
            <w:r w:rsidRPr="00593DEA">
              <w:rPr>
                <w:rStyle w:val="1"/>
                <w:sz w:val="27"/>
                <w:szCs w:val="27"/>
              </w:rPr>
              <w:t>законодавч</w:t>
            </w:r>
            <w:r>
              <w:rPr>
                <w:rStyle w:val="1"/>
                <w:sz w:val="27"/>
                <w:szCs w:val="27"/>
              </w:rPr>
              <w:t>у неврегульованість.</w:t>
            </w:r>
            <w:r w:rsidRPr="00593DEA">
              <w:rPr>
                <w:rFonts w:ascii="Times New Roman" w:hAnsi="Times New Roman" w:cs="Times New Roman"/>
                <w:sz w:val="27"/>
                <w:szCs w:val="27"/>
                <w:lang w:eastAsia="ru-RU"/>
              </w:rPr>
              <w:t xml:space="preserve"> </w:t>
            </w:r>
          </w:p>
          <w:p w:rsidR="002D3C6F" w:rsidRPr="00593DEA" w:rsidRDefault="002D3C6F" w:rsidP="002D3C6F">
            <w:pPr>
              <w:widowControl w:val="0"/>
              <w:tabs>
                <w:tab w:val="left" w:pos="-3686"/>
                <w:tab w:val="left" w:pos="990"/>
              </w:tabs>
              <w:spacing w:after="0" w:line="240" w:lineRule="auto"/>
              <w:jc w:val="both"/>
              <w:rPr>
                <w:rFonts w:ascii="Times New Roman" w:hAnsi="Times New Roman" w:cs="Times New Roman"/>
                <w:sz w:val="27"/>
                <w:szCs w:val="27"/>
                <w:lang w:eastAsia="ru-RU"/>
              </w:rPr>
            </w:pPr>
          </w:p>
          <w:p w:rsidR="002D3C6F" w:rsidRPr="00593DEA" w:rsidRDefault="002D3C6F" w:rsidP="002D3C6F">
            <w:pPr>
              <w:widowControl w:val="0"/>
              <w:tabs>
                <w:tab w:val="left" w:pos="-3686"/>
                <w:tab w:val="left" w:pos="990"/>
              </w:tabs>
              <w:spacing w:after="0" w:line="240" w:lineRule="auto"/>
              <w:jc w:val="both"/>
              <w:rPr>
                <w:rFonts w:ascii="Times New Roman" w:hAnsi="Times New Roman" w:cs="Times New Roman"/>
                <w:sz w:val="27"/>
                <w:szCs w:val="27"/>
                <w:lang w:eastAsia="ru-RU"/>
              </w:rPr>
            </w:pPr>
          </w:p>
        </w:tc>
      </w:tr>
      <w:tr w:rsidR="002D3C6F" w:rsidRPr="00593DEA" w:rsidTr="0050078D">
        <w:tc>
          <w:tcPr>
            <w:tcW w:w="3253" w:type="dxa"/>
            <w:gridSpan w:val="2"/>
            <w:tcBorders>
              <w:top w:val="single" w:sz="4" w:space="0" w:color="auto"/>
            </w:tcBorders>
            <w:vAlign w:val="center"/>
          </w:tcPr>
          <w:p w:rsidR="002D3C6F" w:rsidRPr="00593DEA" w:rsidRDefault="002D3C6F" w:rsidP="002D3C6F">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Рейтинг</w:t>
            </w:r>
          </w:p>
        </w:tc>
        <w:tc>
          <w:tcPr>
            <w:tcW w:w="3253" w:type="dxa"/>
            <w:gridSpan w:val="2"/>
            <w:tcBorders>
              <w:top w:val="single" w:sz="4" w:space="0" w:color="auto"/>
            </w:tcBorders>
            <w:vAlign w:val="center"/>
          </w:tcPr>
          <w:p w:rsidR="002D3C6F" w:rsidRPr="00593DEA" w:rsidRDefault="002D3C6F" w:rsidP="002D3C6F">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Аргументи щодо переваги обраної альтернативи/причини відмови від альтернативи</w:t>
            </w:r>
          </w:p>
        </w:tc>
        <w:tc>
          <w:tcPr>
            <w:tcW w:w="3254" w:type="dxa"/>
            <w:gridSpan w:val="2"/>
            <w:tcBorders>
              <w:top w:val="single" w:sz="4" w:space="0" w:color="auto"/>
            </w:tcBorders>
            <w:vAlign w:val="center"/>
          </w:tcPr>
          <w:p w:rsidR="002D3C6F" w:rsidRPr="00593DEA" w:rsidRDefault="002D3C6F" w:rsidP="002D3C6F">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Оцінка ризику зовнішніх чинників на дію запропонованого регуляторного акта</w:t>
            </w:r>
          </w:p>
        </w:tc>
      </w:tr>
      <w:tr w:rsidR="002D3C6F" w:rsidRPr="00593DEA" w:rsidTr="0050078D">
        <w:tc>
          <w:tcPr>
            <w:tcW w:w="3253" w:type="dxa"/>
            <w:gridSpan w:val="2"/>
            <w:vAlign w:val="center"/>
          </w:tcPr>
          <w:p w:rsidR="002D3C6F" w:rsidRPr="00593DEA" w:rsidRDefault="002D3C6F" w:rsidP="002D3C6F">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1</w:t>
            </w:r>
          </w:p>
        </w:tc>
        <w:tc>
          <w:tcPr>
            <w:tcW w:w="3253" w:type="dxa"/>
            <w:gridSpan w:val="2"/>
            <w:vAlign w:val="center"/>
          </w:tcPr>
          <w:p w:rsidR="00DA18AB" w:rsidRPr="00593DEA" w:rsidRDefault="002D3C6F" w:rsidP="00DA18AB">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Переваги відсутні. Така альтернатива не сприятиме досягненню цілей</w:t>
            </w:r>
            <w:r>
              <w:rPr>
                <w:rFonts w:ascii="Times New Roman" w:hAnsi="Times New Roman" w:cs="Times New Roman"/>
                <w:sz w:val="27"/>
                <w:szCs w:val="27"/>
                <w:lang w:eastAsia="ru-RU"/>
              </w:rPr>
              <w:t xml:space="preserve"> </w:t>
            </w:r>
            <w:r w:rsidRPr="00593DEA">
              <w:rPr>
                <w:rFonts w:ascii="Times New Roman" w:hAnsi="Times New Roman" w:cs="Times New Roman"/>
                <w:sz w:val="27"/>
                <w:szCs w:val="27"/>
                <w:lang w:eastAsia="ru-RU"/>
              </w:rPr>
              <w:t>держав</w:t>
            </w:r>
            <w:r>
              <w:rPr>
                <w:rFonts w:ascii="Times New Roman" w:hAnsi="Times New Roman" w:cs="Times New Roman"/>
                <w:sz w:val="27"/>
                <w:szCs w:val="27"/>
                <w:lang w:eastAsia="ru-RU"/>
              </w:rPr>
              <w:t>ної політики у сфері геологічного вивчення та раціонального використання надр</w:t>
            </w:r>
            <w:r w:rsidRPr="00593DEA">
              <w:rPr>
                <w:rFonts w:ascii="Times New Roman" w:hAnsi="Times New Roman" w:cs="Times New Roman"/>
                <w:sz w:val="27"/>
                <w:szCs w:val="27"/>
                <w:lang w:eastAsia="ru-RU"/>
              </w:rPr>
              <w:t>. Залишаються проблеми, зазначені у Розділі 1 Аналізу.</w:t>
            </w:r>
          </w:p>
        </w:tc>
        <w:tc>
          <w:tcPr>
            <w:tcW w:w="3254" w:type="dxa"/>
            <w:gridSpan w:val="2"/>
            <w:vAlign w:val="center"/>
          </w:tcPr>
          <w:p w:rsidR="002D3C6F" w:rsidRPr="00593DEA" w:rsidRDefault="002D3C6F" w:rsidP="002D3C6F">
            <w:pPr>
              <w:widowControl w:val="0"/>
              <w:tabs>
                <w:tab w:val="left" w:pos="-3686"/>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Відсутні.</w:t>
            </w:r>
          </w:p>
        </w:tc>
      </w:tr>
      <w:tr w:rsidR="002D3C6F" w:rsidRPr="00593DEA" w:rsidTr="0050078D">
        <w:tc>
          <w:tcPr>
            <w:tcW w:w="3253" w:type="dxa"/>
            <w:gridSpan w:val="2"/>
            <w:vAlign w:val="center"/>
          </w:tcPr>
          <w:p w:rsidR="002D3C6F" w:rsidRPr="00593DEA" w:rsidRDefault="002D3C6F" w:rsidP="002D3C6F">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2</w:t>
            </w:r>
          </w:p>
        </w:tc>
        <w:tc>
          <w:tcPr>
            <w:tcW w:w="3253" w:type="dxa"/>
            <w:gridSpan w:val="2"/>
            <w:vAlign w:val="center"/>
          </w:tcPr>
          <w:p w:rsidR="00DA18AB" w:rsidRPr="00DA18AB" w:rsidRDefault="002D3C6F" w:rsidP="002D3C6F">
            <w:pPr>
              <w:widowControl w:val="0"/>
              <w:tabs>
                <w:tab w:val="left" w:pos="-3686"/>
                <w:tab w:val="left" w:pos="990"/>
              </w:tabs>
              <w:spacing w:after="0" w:line="240" w:lineRule="auto"/>
              <w:jc w:val="both"/>
              <w:rPr>
                <w:rFonts w:ascii="Times New Roman" w:hAnsi="Times New Roman" w:cs="Times New Roman"/>
                <w:color w:val="000000"/>
                <w:sz w:val="27"/>
                <w:szCs w:val="27"/>
                <w:lang w:eastAsia="uk-UA"/>
              </w:rPr>
            </w:pPr>
            <w:r w:rsidRPr="00593DEA">
              <w:rPr>
                <w:rFonts w:ascii="Times New Roman" w:hAnsi="Times New Roman" w:cs="Times New Roman"/>
                <w:color w:val="000000"/>
                <w:sz w:val="27"/>
                <w:szCs w:val="27"/>
                <w:lang w:eastAsia="ru-RU"/>
              </w:rPr>
              <w:t xml:space="preserve">Сприятиме приведенню </w:t>
            </w:r>
            <w:r>
              <w:rPr>
                <w:rFonts w:ascii="Times New Roman" w:hAnsi="Times New Roman" w:cs="Times New Roman"/>
                <w:color w:val="000000"/>
                <w:sz w:val="27"/>
                <w:szCs w:val="27"/>
                <w:lang w:eastAsia="ru-RU"/>
              </w:rPr>
              <w:t>Інструкції</w:t>
            </w:r>
            <w:r w:rsidRPr="00593DEA">
              <w:rPr>
                <w:rFonts w:ascii="Times New Roman" w:hAnsi="Times New Roman" w:cs="Times New Roman"/>
                <w:color w:val="000000"/>
                <w:sz w:val="27"/>
                <w:szCs w:val="27"/>
                <w:lang w:eastAsia="ru-RU"/>
              </w:rPr>
              <w:t xml:space="preserve"> у відповідність до вимог чинного законодавства України, забезпеченню прав та законних інтересів </w:t>
            </w:r>
            <w:r>
              <w:rPr>
                <w:rFonts w:ascii="Times New Roman" w:hAnsi="Times New Roman" w:cs="Times New Roman"/>
                <w:color w:val="000000"/>
                <w:sz w:val="27"/>
                <w:szCs w:val="27"/>
                <w:lang w:eastAsia="ru-RU"/>
              </w:rPr>
              <w:t xml:space="preserve">спеціалізованих </w:t>
            </w:r>
            <w:r w:rsidRPr="00593DEA">
              <w:rPr>
                <w:rFonts w:ascii="Times New Roman" w:hAnsi="Times New Roman" w:cs="Times New Roman"/>
                <w:color w:val="000000"/>
                <w:sz w:val="27"/>
                <w:szCs w:val="27"/>
                <w:lang w:eastAsia="ru-RU"/>
              </w:rPr>
              <w:t>суб’єктів господарювання</w:t>
            </w:r>
            <w:r>
              <w:rPr>
                <w:rFonts w:ascii="Times New Roman" w:hAnsi="Times New Roman" w:cs="Times New Roman"/>
                <w:color w:val="000000"/>
                <w:sz w:val="27"/>
                <w:szCs w:val="27"/>
                <w:lang w:eastAsia="ru-RU"/>
              </w:rPr>
              <w:t xml:space="preserve">, </w:t>
            </w:r>
            <w:r>
              <w:rPr>
                <w:rFonts w:ascii="Times New Roman" w:hAnsi="Times New Roman" w:cs="Times New Roman"/>
                <w:bCs/>
                <w:sz w:val="27"/>
                <w:szCs w:val="27"/>
                <w:lang w:eastAsia="ru-RU"/>
              </w:rPr>
              <w:t xml:space="preserve">що здійснюють геологорозвідувальні роботи, </w:t>
            </w:r>
            <w:r w:rsidRPr="00331AAE">
              <w:rPr>
                <w:rFonts w:ascii="Times New Roman" w:hAnsi="Times New Roman" w:cs="Times New Roman"/>
                <w:color w:val="000000"/>
                <w:sz w:val="27"/>
                <w:szCs w:val="27"/>
                <w:lang w:eastAsia="uk-UA"/>
              </w:rPr>
              <w:t>які виконуються за кошти державного бюджету</w:t>
            </w:r>
            <w:r>
              <w:rPr>
                <w:rFonts w:ascii="Times New Roman" w:hAnsi="Times New Roman" w:cs="Times New Roman"/>
                <w:color w:val="000000"/>
                <w:sz w:val="27"/>
                <w:szCs w:val="27"/>
                <w:lang w:eastAsia="uk-UA"/>
              </w:rPr>
              <w:t>.</w:t>
            </w:r>
          </w:p>
        </w:tc>
        <w:tc>
          <w:tcPr>
            <w:tcW w:w="3254" w:type="dxa"/>
            <w:gridSpan w:val="2"/>
            <w:vAlign w:val="center"/>
          </w:tcPr>
          <w:p w:rsidR="002D3C6F" w:rsidRPr="00593DEA" w:rsidRDefault="002D3C6F" w:rsidP="002D3C6F">
            <w:pPr>
              <w:widowControl w:val="0"/>
              <w:tabs>
                <w:tab w:val="left" w:pos="-3686"/>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Ризик зовнішніх чинників на дію акта відсутній.</w:t>
            </w:r>
          </w:p>
        </w:tc>
      </w:tr>
      <w:tr w:rsidR="00D706CF" w:rsidRPr="00593DEA" w:rsidTr="0050078D">
        <w:tc>
          <w:tcPr>
            <w:tcW w:w="3253" w:type="dxa"/>
            <w:gridSpan w:val="2"/>
            <w:vAlign w:val="center"/>
          </w:tcPr>
          <w:p w:rsidR="00D706CF" w:rsidRDefault="00D706CF" w:rsidP="002D3C6F">
            <w:pPr>
              <w:widowControl w:val="0"/>
              <w:tabs>
                <w:tab w:val="left" w:pos="990"/>
              </w:tabs>
              <w:spacing w:after="0" w:line="240" w:lineRule="auto"/>
              <w:jc w:val="center"/>
              <w:rPr>
                <w:rFonts w:ascii="Times New Roman" w:hAnsi="Times New Roman" w:cs="Times New Roman"/>
                <w:sz w:val="27"/>
                <w:szCs w:val="27"/>
                <w:lang w:eastAsia="ru-RU"/>
              </w:rPr>
            </w:pPr>
            <w:r>
              <w:rPr>
                <w:rFonts w:ascii="Times New Roman" w:hAnsi="Times New Roman" w:cs="Times New Roman"/>
                <w:sz w:val="27"/>
                <w:szCs w:val="27"/>
                <w:lang w:eastAsia="ru-RU"/>
              </w:rPr>
              <w:t>Альтернатива 3</w:t>
            </w:r>
          </w:p>
        </w:tc>
        <w:tc>
          <w:tcPr>
            <w:tcW w:w="3253" w:type="dxa"/>
            <w:gridSpan w:val="2"/>
            <w:vAlign w:val="center"/>
          </w:tcPr>
          <w:p w:rsidR="00D706CF" w:rsidRPr="00593DEA" w:rsidRDefault="00D706CF" w:rsidP="002D3C6F">
            <w:pPr>
              <w:widowControl w:val="0"/>
              <w:tabs>
                <w:tab w:val="left" w:pos="-3686"/>
                <w:tab w:val="left" w:pos="990"/>
              </w:tabs>
              <w:spacing w:after="0" w:line="240" w:lineRule="auto"/>
              <w:jc w:val="both"/>
              <w:rPr>
                <w:rFonts w:ascii="Times New Roman" w:hAnsi="Times New Roman" w:cs="Times New Roman"/>
                <w:color w:val="000000"/>
                <w:sz w:val="27"/>
                <w:szCs w:val="27"/>
                <w:lang w:eastAsia="ru-RU"/>
              </w:rPr>
            </w:pPr>
            <w:r w:rsidRPr="00593DEA">
              <w:rPr>
                <w:rFonts w:ascii="Times New Roman" w:hAnsi="Times New Roman" w:cs="Times New Roman"/>
                <w:sz w:val="27"/>
                <w:szCs w:val="27"/>
                <w:lang w:eastAsia="ru-RU"/>
              </w:rPr>
              <w:t>Переваги відсутні. Така альтернатива не</w:t>
            </w:r>
            <w:r>
              <w:rPr>
                <w:rFonts w:ascii="Times New Roman" w:hAnsi="Times New Roman" w:cs="Times New Roman"/>
                <w:sz w:val="27"/>
                <w:szCs w:val="27"/>
                <w:lang w:eastAsia="ru-RU"/>
              </w:rPr>
              <w:t xml:space="preserve"> вирішить </w:t>
            </w:r>
            <w:r w:rsidRPr="00593DEA">
              <w:rPr>
                <w:rStyle w:val="1"/>
                <w:sz w:val="27"/>
                <w:szCs w:val="27"/>
              </w:rPr>
              <w:t>законодавч</w:t>
            </w:r>
            <w:r>
              <w:rPr>
                <w:rStyle w:val="1"/>
                <w:sz w:val="27"/>
                <w:szCs w:val="27"/>
              </w:rPr>
              <w:t xml:space="preserve">у неврегульованість. </w:t>
            </w:r>
            <w:r w:rsidRPr="00593DEA">
              <w:rPr>
                <w:rFonts w:ascii="Times New Roman" w:hAnsi="Times New Roman" w:cs="Times New Roman"/>
                <w:sz w:val="27"/>
                <w:szCs w:val="27"/>
                <w:lang w:eastAsia="ru-RU"/>
              </w:rPr>
              <w:lastRenderedPageBreak/>
              <w:t>Залишаються проблеми, зазначені у Розділі 1 Аналізу.</w:t>
            </w:r>
          </w:p>
        </w:tc>
        <w:tc>
          <w:tcPr>
            <w:tcW w:w="3254" w:type="dxa"/>
            <w:gridSpan w:val="2"/>
            <w:vAlign w:val="center"/>
          </w:tcPr>
          <w:p w:rsidR="00D706CF" w:rsidRPr="00593DEA" w:rsidRDefault="00D706CF" w:rsidP="002D3C6F">
            <w:pPr>
              <w:widowControl w:val="0"/>
              <w:tabs>
                <w:tab w:val="left" w:pos="-3686"/>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lastRenderedPageBreak/>
              <w:t>Відсутні.</w:t>
            </w:r>
          </w:p>
        </w:tc>
      </w:tr>
    </w:tbl>
    <w:p w:rsidR="00194175" w:rsidRDefault="00194175" w:rsidP="00194175">
      <w:pPr>
        <w:pStyle w:val="20"/>
        <w:shd w:val="clear" w:color="auto" w:fill="auto"/>
        <w:tabs>
          <w:tab w:val="left" w:pos="1710"/>
        </w:tabs>
        <w:spacing w:after="0" w:line="240" w:lineRule="auto"/>
        <w:ind w:firstLine="567"/>
        <w:rPr>
          <w:rFonts w:ascii="Times New Roman" w:hAnsi="Times New Roman" w:cs="Times New Roman"/>
          <w:spacing w:val="0"/>
          <w:sz w:val="27"/>
          <w:szCs w:val="27"/>
        </w:rPr>
      </w:pPr>
    </w:p>
    <w:p w:rsidR="001F06CB" w:rsidRPr="00593DEA" w:rsidRDefault="001F06CB" w:rsidP="00194175">
      <w:pPr>
        <w:pStyle w:val="20"/>
        <w:shd w:val="clear" w:color="auto" w:fill="auto"/>
        <w:tabs>
          <w:tab w:val="left" w:pos="1710"/>
        </w:tabs>
        <w:spacing w:after="0" w:line="240" w:lineRule="auto"/>
        <w:ind w:firstLine="567"/>
        <w:rPr>
          <w:rFonts w:ascii="Times New Roman" w:hAnsi="Times New Roman" w:cs="Times New Roman"/>
          <w:spacing w:val="0"/>
          <w:sz w:val="27"/>
          <w:szCs w:val="27"/>
        </w:rPr>
      </w:pPr>
    </w:p>
    <w:p w:rsidR="00194175" w:rsidRPr="00593DEA" w:rsidRDefault="00194175" w:rsidP="00194175">
      <w:pPr>
        <w:pStyle w:val="20"/>
        <w:shd w:val="clear" w:color="auto" w:fill="auto"/>
        <w:tabs>
          <w:tab w:val="left" w:pos="0"/>
        </w:tabs>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V. Механізми та заходи, які забезпечать розв’язання визначеної проблеми</w:t>
      </w:r>
    </w:p>
    <w:p w:rsidR="00194175" w:rsidRPr="00593DEA" w:rsidRDefault="00194175" w:rsidP="00194175">
      <w:pPr>
        <w:pStyle w:val="20"/>
        <w:shd w:val="clear" w:color="auto" w:fill="auto"/>
        <w:tabs>
          <w:tab w:val="left" w:pos="0"/>
        </w:tabs>
        <w:spacing w:after="0" w:line="240" w:lineRule="auto"/>
        <w:ind w:firstLine="567"/>
        <w:jc w:val="left"/>
        <w:rPr>
          <w:rFonts w:ascii="Times New Roman" w:hAnsi="Times New Roman" w:cs="Times New Roman"/>
          <w:spacing w:val="0"/>
          <w:sz w:val="27"/>
          <w:szCs w:val="27"/>
        </w:rPr>
      </w:pPr>
    </w:p>
    <w:p w:rsidR="00B7099E" w:rsidRDefault="00194175" w:rsidP="00194175">
      <w:pPr>
        <w:pStyle w:val="3"/>
        <w:shd w:val="clear" w:color="auto" w:fill="auto"/>
        <w:tabs>
          <w:tab w:val="left" w:pos="0"/>
        </w:tabs>
        <w:spacing w:before="0" w:after="0" w:line="240" w:lineRule="auto"/>
        <w:ind w:firstLine="567"/>
        <w:rPr>
          <w:rFonts w:ascii="Times New Roman" w:hAnsi="Times New Roman" w:cs="Times New Roman"/>
          <w:spacing w:val="0"/>
          <w:sz w:val="27"/>
          <w:szCs w:val="27"/>
          <w:shd w:val="clear" w:color="auto" w:fill="auto"/>
        </w:rPr>
      </w:pPr>
      <w:bookmarkStart w:id="8" w:name="bookmark11"/>
      <w:r w:rsidRPr="00593DEA">
        <w:rPr>
          <w:rFonts w:ascii="Times New Roman" w:hAnsi="Times New Roman" w:cs="Times New Roman"/>
          <w:spacing w:val="0"/>
          <w:sz w:val="27"/>
          <w:szCs w:val="27"/>
        </w:rPr>
        <w:t>Механізмом, який забез</w:t>
      </w:r>
      <w:r w:rsidR="003A2864" w:rsidRPr="00593DEA">
        <w:rPr>
          <w:rFonts w:ascii="Times New Roman" w:hAnsi="Times New Roman" w:cs="Times New Roman"/>
          <w:spacing w:val="0"/>
          <w:sz w:val="27"/>
          <w:szCs w:val="27"/>
        </w:rPr>
        <w:t>печить розв’язання проблематики</w:t>
      </w:r>
      <w:r w:rsidRPr="00593DEA">
        <w:rPr>
          <w:rFonts w:ascii="Times New Roman" w:hAnsi="Times New Roman" w:cs="Times New Roman"/>
          <w:spacing w:val="0"/>
          <w:sz w:val="27"/>
          <w:szCs w:val="27"/>
        </w:rPr>
        <w:t xml:space="preserve"> є прийняття регуляторного акта, який забезпечить</w:t>
      </w:r>
      <w:r w:rsidRPr="00593DEA">
        <w:rPr>
          <w:rFonts w:ascii="Times New Roman" w:hAnsi="Times New Roman" w:cs="Times New Roman"/>
          <w:spacing w:val="0"/>
          <w:sz w:val="27"/>
          <w:szCs w:val="27"/>
          <w:shd w:val="clear" w:color="auto" w:fill="auto"/>
        </w:rPr>
        <w:t xml:space="preserve"> </w:t>
      </w:r>
      <w:r w:rsidR="00B7099E">
        <w:rPr>
          <w:rFonts w:ascii="Times New Roman" w:hAnsi="Times New Roman" w:cs="Times New Roman"/>
          <w:spacing w:val="0"/>
          <w:sz w:val="27"/>
          <w:szCs w:val="27"/>
          <w:shd w:val="clear" w:color="auto" w:fill="auto"/>
        </w:rPr>
        <w:t xml:space="preserve"> </w:t>
      </w:r>
      <w:r w:rsidR="00B7099E" w:rsidRPr="00B7099E">
        <w:rPr>
          <w:rFonts w:ascii="Times New Roman" w:hAnsi="Times New Roman" w:cs="Times New Roman"/>
          <w:spacing w:val="0"/>
          <w:sz w:val="27"/>
          <w:szCs w:val="27"/>
          <w:shd w:val="clear" w:color="auto" w:fill="auto"/>
        </w:rPr>
        <w:t>єдиний підхід до проєктування та визначення кошторисної вартості геологорозвідувальних робіт, які виконуються за рахунок коштів державного бюджету на території України спеціалізованими суб’єктами господарювання незалежно від форм власності.</w:t>
      </w:r>
    </w:p>
    <w:p w:rsidR="00194175" w:rsidRPr="00593DEA" w:rsidRDefault="00194175" w:rsidP="00194175">
      <w:pPr>
        <w:numPr>
          <w:ilvl w:val="0"/>
          <w:numId w:val="3"/>
        </w:numPr>
        <w:spacing w:after="0" w:line="240" w:lineRule="auto"/>
        <w:ind w:left="993" w:hanging="426"/>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Організаційні заходи для </w:t>
      </w:r>
      <w:r w:rsidRPr="00593DEA">
        <w:rPr>
          <w:rFonts w:ascii="Times New Roman" w:hAnsi="Times New Roman" w:cs="Times New Roman"/>
          <w:sz w:val="27"/>
          <w:szCs w:val="27"/>
        </w:rPr>
        <w:t>впровадження</w:t>
      </w:r>
      <w:r w:rsidRPr="00593DEA">
        <w:rPr>
          <w:rFonts w:ascii="Times New Roman" w:hAnsi="Times New Roman" w:cs="Times New Roman"/>
          <w:sz w:val="27"/>
          <w:szCs w:val="27"/>
          <w:lang w:eastAsia="ru-RU"/>
        </w:rPr>
        <w:t xml:space="preserve"> регулювання. </w:t>
      </w:r>
    </w:p>
    <w:p w:rsidR="00194175" w:rsidRPr="00593DEA" w:rsidRDefault="00E45AD2" w:rsidP="00194175">
      <w:pPr>
        <w:widowControl w:val="0"/>
        <w:tabs>
          <w:tab w:val="left" w:pos="0"/>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Міндовкілля спільно з </w:t>
      </w:r>
      <w:r w:rsidR="00C17791" w:rsidRPr="00593DEA">
        <w:rPr>
          <w:rFonts w:ascii="Times New Roman" w:hAnsi="Times New Roman" w:cs="Times New Roman"/>
          <w:sz w:val="27"/>
          <w:szCs w:val="27"/>
          <w:lang w:eastAsia="ru-RU"/>
        </w:rPr>
        <w:t>Держгеонадра</w:t>
      </w:r>
      <w:r w:rsidR="00194175" w:rsidRPr="00593DEA">
        <w:rPr>
          <w:rFonts w:ascii="Times New Roman" w:hAnsi="Times New Roman" w:cs="Times New Roman"/>
          <w:sz w:val="27"/>
          <w:szCs w:val="27"/>
          <w:lang w:eastAsia="ru-RU"/>
        </w:rPr>
        <w:t xml:space="preserve"> для впровадження регуляторного акта </w:t>
      </w:r>
      <w:r w:rsidR="00685640" w:rsidRPr="00593DEA">
        <w:rPr>
          <w:rFonts w:ascii="Times New Roman" w:hAnsi="Times New Roman" w:cs="Times New Roman"/>
          <w:sz w:val="27"/>
          <w:szCs w:val="27"/>
          <w:lang w:eastAsia="ru-RU"/>
        </w:rPr>
        <w:t>повинні</w:t>
      </w:r>
      <w:r w:rsidR="00194175" w:rsidRPr="00593DEA">
        <w:rPr>
          <w:rFonts w:ascii="Times New Roman" w:hAnsi="Times New Roman" w:cs="Times New Roman"/>
          <w:sz w:val="27"/>
          <w:szCs w:val="27"/>
          <w:lang w:eastAsia="ru-RU"/>
        </w:rPr>
        <w:t xml:space="preserve"> погодити проєкт регуляторного акта із заінтересованими органами та подати його на державну реєстрацію до Міністерства юстиції України. Для впровадження цього регуляторного акта необхідно забезпечити інформування </w:t>
      </w:r>
      <w:r w:rsidR="00B7099E">
        <w:rPr>
          <w:rFonts w:ascii="Times New Roman" w:hAnsi="Times New Roman" w:cs="Times New Roman"/>
          <w:sz w:val="27"/>
          <w:szCs w:val="27"/>
          <w:lang w:eastAsia="ru-RU"/>
        </w:rPr>
        <w:t xml:space="preserve">спеціалізованих </w:t>
      </w:r>
      <w:r w:rsidR="00B7099E" w:rsidRPr="00B7099E">
        <w:rPr>
          <w:rFonts w:ascii="Times New Roman" w:hAnsi="Times New Roman" w:cs="Times New Roman"/>
          <w:sz w:val="27"/>
          <w:szCs w:val="27"/>
        </w:rPr>
        <w:t>суб’єкт</w:t>
      </w:r>
      <w:r w:rsidR="00B7099E">
        <w:rPr>
          <w:rFonts w:ascii="Times New Roman" w:hAnsi="Times New Roman" w:cs="Times New Roman"/>
          <w:sz w:val="27"/>
          <w:szCs w:val="27"/>
        </w:rPr>
        <w:t>ів</w:t>
      </w:r>
      <w:r w:rsidR="00B7099E" w:rsidRPr="00B7099E">
        <w:rPr>
          <w:rFonts w:ascii="Times New Roman" w:hAnsi="Times New Roman" w:cs="Times New Roman"/>
          <w:sz w:val="27"/>
          <w:szCs w:val="27"/>
        </w:rPr>
        <w:t xml:space="preserve"> господарювання</w:t>
      </w:r>
      <w:r w:rsidR="00B7099E">
        <w:rPr>
          <w:rFonts w:ascii="Times New Roman" w:hAnsi="Times New Roman" w:cs="Times New Roman"/>
          <w:sz w:val="27"/>
          <w:szCs w:val="27"/>
        </w:rPr>
        <w:t>, що виконують геологорозвідувальні роботи за рахунок коштів державного бюджету</w:t>
      </w:r>
      <w:r w:rsidR="00B7099E" w:rsidRPr="00B7099E">
        <w:rPr>
          <w:rFonts w:ascii="Times New Roman" w:hAnsi="Times New Roman" w:cs="Times New Roman"/>
          <w:sz w:val="27"/>
          <w:szCs w:val="27"/>
        </w:rPr>
        <w:t xml:space="preserve"> </w:t>
      </w:r>
      <w:r w:rsidR="00194175" w:rsidRPr="00593DEA">
        <w:rPr>
          <w:rFonts w:ascii="Times New Roman" w:hAnsi="Times New Roman" w:cs="Times New Roman"/>
          <w:sz w:val="27"/>
          <w:szCs w:val="27"/>
          <w:lang w:eastAsia="ru-RU"/>
        </w:rPr>
        <w:t>про вимоги регуляторного акта шляхом його оприлюднення у засобах масової інформації та на офі</w:t>
      </w:r>
      <w:r w:rsidR="00A77B00" w:rsidRPr="00593DEA">
        <w:rPr>
          <w:rFonts w:ascii="Times New Roman" w:hAnsi="Times New Roman" w:cs="Times New Roman"/>
          <w:sz w:val="27"/>
          <w:szCs w:val="27"/>
          <w:lang w:eastAsia="ru-RU"/>
        </w:rPr>
        <w:t>ційн</w:t>
      </w:r>
      <w:r w:rsidR="000725FF" w:rsidRPr="00593DEA">
        <w:rPr>
          <w:rFonts w:ascii="Times New Roman" w:hAnsi="Times New Roman" w:cs="Times New Roman"/>
          <w:sz w:val="27"/>
          <w:szCs w:val="27"/>
          <w:lang w:eastAsia="ru-RU"/>
        </w:rPr>
        <w:t>ому</w:t>
      </w:r>
      <w:r w:rsidR="00A77B00" w:rsidRPr="00593DEA">
        <w:rPr>
          <w:rFonts w:ascii="Times New Roman" w:hAnsi="Times New Roman" w:cs="Times New Roman"/>
          <w:sz w:val="27"/>
          <w:szCs w:val="27"/>
          <w:lang w:eastAsia="ru-RU"/>
        </w:rPr>
        <w:t xml:space="preserve"> вебсайт</w:t>
      </w:r>
      <w:r w:rsidR="000725FF" w:rsidRPr="00593DEA">
        <w:rPr>
          <w:rFonts w:ascii="Times New Roman" w:hAnsi="Times New Roman" w:cs="Times New Roman"/>
          <w:sz w:val="27"/>
          <w:szCs w:val="27"/>
          <w:lang w:eastAsia="ru-RU"/>
        </w:rPr>
        <w:t>і</w:t>
      </w:r>
      <w:r w:rsidR="00194175" w:rsidRPr="00593DEA">
        <w:rPr>
          <w:rFonts w:ascii="Times New Roman" w:hAnsi="Times New Roman" w:cs="Times New Roman"/>
          <w:sz w:val="27"/>
          <w:szCs w:val="27"/>
          <w:lang w:eastAsia="ru-RU"/>
        </w:rPr>
        <w:t xml:space="preserve"> </w:t>
      </w:r>
      <w:r w:rsidR="00C17791" w:rsidRPr="00593DEA">
        <w:rPr>
          <w:rFonts w:ascii="Times New Roman" w:hAnsi="Times New Roman" w:cs="Times New Roman"/>
          <w:sz w:val="27"/>
          <w:szCs w:val="27"/>
          <w:lang w:eastAsia="ru-RU"/>
        </w:rPr>
        <w:t>Держгеонадра</w:t>
      </w:r>
      <w:r w:rsidR="00194175" w:rsidRPr="00593DEA">
        <w:rPr>
          <w:rFonts w:ascii="Times New Roman" w:hAnsi="Times New Roman" w:cs="Times New Roman"/>
          <w:sz w:val="27"/>
          <w:szCs w:val="27"/>
          <w:lang w:eastAsia="ru-RU"/>
        </w:rPr>
        <w:t>.</w:t>
      </w:r>
    </w:p>
    <w:p w:rsidR="00194175" w:rsidRPr="00593DEA" w:rsidRDefault="00194175" w:rsidP="00194175">
      <w:pPr>
        <w:widowControl w:val="0"/>
        <w:tabs>
          <w:tab w:val="left" w:pos="0"/>
          <w:tab w:val="left" w:pos="990"/>
        </w:tabs>
        <w:spacing w:after="0" w:line="240" w:lineRule="auto"/>
        <w:ind w:firstLine="567"/>
        <w:jc w:val="both"/>
        <w:rPr>
          <w:rFonts w:ascii="Times New Roman" w:hAnsi="Times New Roman" w:cs="Times New Roman"/>
          <w:sz w:val="27"/>
          <w:szCs w:val="27"/>
          <w:lang w:eastAsia="ru-RU"/>
        </w:rPr>
      </w:pPr>
    </w:p>
    <w:p w:rsidR="00194175" w:rsidRPr="00593DEA" w:rsidRDefault="00194175" w:rsidP="001F06CB">
      <w:pPr>
        <w:numPr>
          <w:ilvl w:val="0"/>
          <w:numId w:val="3"/>
        </w:numPr>
        <w:spacing w:after="0" w:line="240" w:lineRule="auto"/>
        <w:ind w:left="0" w:firstLine="426"/>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Заходи, які необхідно здійснити </w:t>
      </w:r>
      <w:r w:rsidR="00B7099E">
        <w:rPr>
          <w:rFonts w:ascii="Times New Roman" w:hAnsi="Times New Roman" w:cs="Times New Roman"/>
          <w:sz w:val="27"/>
          <w:szCs w:val="27"/>
          <w:lang w:eastAsia="ru-RU"/>
        </w:rPr>
        <w:t xml:space="preserve">спеціалізованим </w:t>
      </w:r>
      <w:r w:rsidRPr="00593DEA">
        <w:rPr>
          <w:rFonts w:ascii="Times New Roman" w:hAnsi="Times New Roman" w:cs="Times New Roman"/>
          <w:sz w:val="27"/>
          <w:szCs w:val="27"/>
          <w:lang w:eastAsia="ru-RU"/>
        </w:rPr>
        <w:t xml:space="preserve">суб’єктам господарської діяльності. </w:t>
      </w:r>
    </w:p>
    <w:p w:rsidR="00194175" w:rsidRPr="00593DEA" w:rsidRDefault="00B7099E" w:rsidP="00194175">
      <w:pPr>
        <w:widowControl w:val="0"/>
        <w:tabs>
          <w:tab w:val="left" w:pos="0"/>
        </w:tabs>
        <w:spacing w:after="0" w:line="240" w:lineRule="auto"/>
        <w:ind w:firstLine="567"/>
        <w:jc w:val="both"/>
        <w:rPr>
          <w:rFonts w:ascii="Times New Roman" w:hAnsi="Times New Roman" w:cs="Times New Roman"/>
          <w:sz w:val="27"/>
          <w:szCs w:val="27"/>
          <w:lang w:eastAsia="ru-RU"/>
        </w:rPr>
      </w:pPr>
      <w:r>
        <w:rPr>
          <w:rFonts w:ascii="Times New Roman" w:hAnsi="Times New Roman" w:cs="Times New Roman"/>
          <w:sz w:val="27"/>
          <w:szCs w:val="27"/>
          <w:lang w:eastAsia="ru-RU"/>
        </w:rPr>
        <w:t>Спеціалізовані с</w:t>
      </w:r>
      <w:r w:rsidR="00194175" w:rsidRPr="00593DEA">
        <w:rPr>
          <w:rFonts w:ascii="Times New Roman" w:hAnsi="Times New Roman" w:cs="Times New Roman"/>
          <w:sz w:val="27"/>
          <w:szCs w:val="27"/>
          <w:lang w:eastAsia="ru-RU"/>
        </w:rPr>
        <w:t>уб’єкти господарської діяльності повинні ознайомитися з вимогами регуляторного акта (пошук та опрацювання регуляторного акт</w:t>
      </w:r>
      <w:r w:rsidR="00A06BC6" w:rsidRPr="00593DEA">
        <w:rPr>
          <w:rFonts w:ascii="Times New Roman" w:hAnsi="Times New Roman" w:cs="Times New Roman"/>
          <w:sz w:val="27"/>
          <w:szCs w:val="27"/>
          <w:lang w:eastAsia="ru-RU"/>
        </w:rPr>
        <w:t>а</w:t>
      </w:r>
      <w:r w:rsidR="00194175" w:rsidRPr="00593DEA">
        <w:rPr>
          <w:rFonts w:ascii="Times New Roman" w:hAnsi="Times New Roman" w:cs="Times New Roman"/>
          <w:sz w:val="27"/>
          <w:szCs w:val="27"/>
          <w:lang w:eastAsia="ru-RU"/>
        </w:rPr>
        <w:t xml:space="preserve"> в мережі Інтернет).</w:t>
      </w:r>
    </w:p>
    <w:p w:rsidR="00B7099E" w:rsidRDefault="00B7099E" w:rsidP="00194175">
      <w:pPr>
        <w:pStyle w:val="3"/>
        <w:shd w:val="clear" w:color="auto" w:fill="auto"/>
        <w:spacing w:before="0" w:after="0" w:line="240" w:lineRule="auto"/>
        <w:jc w:val="center"/>
        <w:rPr>
          <w:rFonts w:ascii="Times New Roman" w:hAnsi="Times New Roman" w:cs="Times New Roman"/>
          <w:b/>
          <w:spacing w:val="0"/>
          <w:sz w:val="27"/>
          <w:szCs w:val="27"/>
        </w:rPr>
      </w:pPr>
    </w:p>
    <w:p w:rsidR="00DA18AB" w:rsidRDefault="00DA18AB" w:rsidP="00194175">
      <w:pPr>
        <w:pStyle w:val="3"/>
        <w:shd w:val="clear" w:color="auto" w:fill="auto"/>
        <w:spacing w:before="0" w:after="0" w:line="240" w:lineRule="auto"/>
        <w:jc w:val="center"/>
        <w:rPr>
          <w:rFonts w:ascii="Times New Roman" w:hAnsi="Times New Roman" w:cs="Times New Roman"/>
          <w:b/>
          <w:spacing w:val="0"/>
          <w:sz w:val="27"/>
          <w:szCs w:val="27"/>
        </w:rPr>
      </w:pPr>
    </w:p>
    <w:p w:rsidR="00194175" w:rsidRPr="00593DEA" w:rsidRDefault="00194175" w:rsidP="00194175">
      <w:pPr>
        <w:pStyle w:val="3"/>
        <w:shd w:val="clear" w:color="auto" w:fill="auto"/>
        <w:spacing w:before="0" w:after="0" w:line="240" w:lineRule="auto"/>
        <w:jc w:val="center"/>
        <w:rPr>
          <w:rFonts w:ascii="Times New Roman" w:hAnsi="Times New Roman" w:cs="Times New Roman"/>
          <w:b/>
          <w:spacing w:val="0"/>
          <w:sz w:val="27"/>
          <w:szCs w:val="27"/>
        </w:rPr>
      </w:pPr>
      <w:r w:rsidRPr="00B7099E">
        <w:rPr>
          <w:rFonts w:ascii="Times New Roman" w:hAnsi="Times New Roman" w:cs="Times New Roman"/>
          <w:b/>
          <w:spacing w:val="0"/>
          <w:sz w:val="27"/>
          <w:szCs w:val="27"/>
        </w:rPr>
        <w:t>VI.</w:t>
      </w:r>
      <w:r w:rsidRPr="00B7099E">
        <w:rPr>
          <w:rFonts w:ascii="Times New Roman" w:hAnsi="Times New Roman" w:cs="Times New Roman"/>
          <w:spacing w:val="0"/>
          <w:sz w:val="27"/>
          <w:szCs w:val="27"/>
        </w:rPr>
        <w:t xml:space="preserve"> </w:t>
      </w:r>
      <w:r w:rsidRPr="00B7099E">
        <w:rPr>
          <w:rFonts w:ascii="Times New Roman" w:hAnsi="Times New Roman" w:cs="Times New Roman"/>
          <w:b/>
          <w:spacing w:val="0"/>
          <w:sz w:val="27"/>
          <w:szCs w:val="27"/>
        </w:rPr>
        <w:t>Оцінка виконання вимог регуляторного акта залежно від ресурсів, якими розпоряджаються органи виконавчої влади чи органи місцевого</w:t>
      </w:r>
      <w:bookmarkEnd w:id="8"/>
      <w:r w:rsidRPr="00B7099E">
        <w:rPr>
          <w:rFonts w:ascii="Times New Roman" w:hAnsi="Times New Roman" w:cs="Times New Roman"/>
          <w:b/>
          <w:spacing w:val="0"/>
          <w:sz w:val="27"/>
          <w:szCs w:val="27"/>
        </w:rPr>
        <w:t xml:space="preserve"> самоврядування, фізичні та юридичні особи, які повинні проваджувати або</w:t>
      </w:r>
      <w:bookmarkStart w:id="9" w:name="bookmark12"/>
      <w:r w:rsidRPr="00B7099E">
        <w:rPr>
          <w:rFonts w:ascii="Times New Roman" w:hAnsi="Times New Roman" w:cs="Times New Roman"/>
          <w:b/>
          <w:spacing w:val="0"/>
          <w:sz w:val="27"/>
          <w:szCs w:val="27"/>
        </w:rPr>
        <w:t xml:space="preserve"> виконувати ці вимоги</w:t>
      </w:r>
      <w:bookmarkEnd w:id="9"/>
    </w:p>
    <w:p w:rsidR="00194175" w:rsidRPr="00593DEA" w:rsidRDefault="00194175" w:rsidP="00194175">
      <w:pPr>
        <w:pStyle w:val="3"/>
        <w:shd w:val="clear" w:color="auto" w:fill="auto"/>
        <w:spacing w:before="0" w:after="0" w:line="240" w:lineRule="auto"/>
        <w:ind w:firstLine="567"/>
        <w:jc w:val="center"/>
        <w:rPr>
          <w:rFonts w:ascii="Times New Roman" w:hAnsi="Times New Roman" w:cs="Times New Roman"/>
          <w:spacing w:val="0"/>
          <w:sz w:val="27"/>
          <w:szCs w:val="27"/>
        </w:rPr>
      </w:pPr>
    </w:p>
    <w:p w:rsidR="00194175" w:rsidRPr="00593DEA" w:rsidRDefault="00194175" w:rsidP="00194175">
      <w:pPr>
        <w:widowControl w:val="0"/>
        <w:tabs>
          <w:tab w:val="left" w:pos="-3686"/>
          <w:tab w:val="left" w:pos="0"/>
        </w:tabs>
        <w:spacing w:after="0" w:line="240" w:lineRule="auto"/>
        <w:ind w:firstLine="567"/>
        <w:jc w:val="both"/>
        <w:rPr>
          <w:rFonts w:ascii="Times New Roman" w:hAnsi="Times New Roman" w:cs="Times New Roman"/>
          <w:sz w:val="27"/>
          <w:szCs w:val="27"/>
          <w:lang w:eastAsia="ru-RU"/>
        </w:rPr>
      </w:pPr>
      <w:bookmarkStart w:id="10" w:name="bookmark13"/>
      <w:r w:rsidRPr="00593DEA">
        <w:rPr>
          <w:rFonts w:ascii="Times New Roman" w:hAnsi="Times New Roman" w:cs="Times New Roman"/>
          <w:sz w:val="27"/>
          <w:szCs w:val="27"/>
          <w:lang w:eastAsia="ru-RU"/>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194175" w:rsidRPr="00593DEA" w:rsidRDefault="00194175" w:rsidP="00194175">
      <w:pPr>
        <w:widowControl w:val="0"/>
        <w:tabs>
          <w:tab w:val="left" w:pos="-3686"/>
          <w:tab w:val="left" w:pos="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Державне регулювання не передбачає утворення нового державного органу (або нового структурного підрозділу діючого органу).</w:t>
      </w:r>
    </w:p>
    <w:p w:rsidR="00194175"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p>
    <w:p w:rsidR="00DA18AB" w:rsidRPr="00593DEA" w:rsidRDefault="00DA18AB" w:rsidP="00194175">
      <w:pPr>
        <w:pStyle w:val="3"/>
        <w:shd w:val="clear" w:color="auto" w:fill="auto"/>
        <w:spacing w:before="0" w:after="0" w:line="240" w:lineRule="auto"/>
        <w:ind w:firstLine="567"/>
        <w:rPr>
          <w:rFonts w:ascii="Times New Roman" w:hAnsi="Times New Roman" w:cs="Times New Roman"/>
          <w:spacing w:val="0"/>
          <w:sz w:val="27"/>
          <w:szCs w:val="27"/>
        </w:rPr>
      </w:pPr>
    </w:p>
    <w:p w:rsidR="00194175" w:rsidRPr="00593DEA" w:rsidRDefault="00194175" w:rsidP="00194175">
      <w:pPr>
        <w:pStyle w:val="3"/>
        <w:shd w:val="clear" w:color="auto" w:fill="auto"/>
        <w:spacing w:before="0" w:after="0" w:line="240" w:lineRule="auto"/>
        <w:ind w:firstLine="567"/>
        <w:jc w:val="center"/>
        <w:rPr>
          <w:rFonts w:ascii="Times New Roman" w:hAnsi="Times New Roman" w:cs="Times New Roman"/>
          <w:b/>
          <w:spacing w:val="0"/>
          <w:sz w:val="27"/>
          <w:szCs w:val="27"/>
        </w:rPr>
      </w:pPr>
      <w:r w:rsidRPr="00593DEA">
        <w:rPr>
          <w:rFonts w:ascii="Times New Roman" w:hAnsi="Times New Roman" w:cs="Times New Roman"/>
          <w:b/>
          <w:spacing w:val="0"/>
          <w:sz w:val="27"/>
          <w:szCs w:val="27"/>
        </w:rPr>
        <w:t>VII. Обґрунтування запропонованого строку чинності регуляторного акта</w:t>
      </w:r>
      <w:bookmarkEnd w:id="10"/>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p>
    <w:p w:rsidR="00194175" w:rsidRPr="00593DEA" w:rsidRDefault="00194175" w:rsidP="00194175">
      <w:pPr>
        <w:pStyle w:val="3"/>
        <w:shd w:val="clear" w:color="auto" w:fill="auto"/>
        <w:spacing w:before="0" w:after="0" w:line="240" w:lineRule="auto"/>
        <w:ind w:firstLine="567"/>
        <w:rPr>
          <w:rFonts w:ascii="Times New Roman" w:hAnsi="Times New Roman" w:cs="Times New Roman"/>
          <w:b/>
          <w:spacing w:val="0"/>
          <w:sz w:val="27"/>
          <w:szCs w:val="27"/>
        </w:rPr>
      </w:pPr>
      <w:r w:rsidRPr="00593DEA">
        <w:rPr>
          <w:rFonts w:ascii="Times New Roman" w:hAnsi="Times New Roman" w:cs="Times New Roman"/>
          <w:spacing w:val="0"/>
          <w:sz w:val="27"/>
          <w:szCs w:val="27"/>
        </w:rPr>
        <w:t xml:space="preserve">Строк дії цього регуляторного акта встановлюється на необмежений строк з </w:t>
      </w:r>
      <w:r w:rsidRPr="00593DEA">
        <w:rPr>
          <w:rFonts w:ascii="Times New Roman" w:hAnsi="Times New Roman" w:cs="Times New Roman"/>
          <w:spacing w:val="0"/>
          <w:sz w:val="27"/>
          <w:szCs w:val="27"/>
        </w:rPr>
        <w:lastRenderedPageBreak/>
        <w:t>моменту набрання чинності, оскільки необхідність виконання положень регуляторного акта є постійною.</w:t>
      </w:r>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Акт набирає чинності з дня його офіційного опублікування.</w:t>
      </w:r>
    </w:p>
    <w:p w:rsidR="002F19C5" w:rsidRDefault="002F19C5" w:rsidP="00194175">
      <w:pPr>
        <w:pStyle w:val="22"/>
        <w:shd w:val="clear" w:color="auto" w:fill="auto"/>
        <w:spacing w:after="0" w:line="240" w:lineRule="auto"/>
        <w:ind w:firstLine="567"/>
        <w:rPr>
          <w:rFonts w:ascii="Times New Roman" w:hAnsi="Times New Roman" w:cs="Times New Roman"/>
          <w:b w:val="0"/>
          <w:bCs w:val="0"/>
          <w:spacing w:val="0"/>
          <w:sz w:val="27"/>
          <w:szCs w:val="27"/>
        </w:rPr>
      </w:pPr>
      <w:bookmarkStart w:id="11" w:name="bookmark14"/>
    </w:p>
    <w:p w:rsidR="00DA18AB" w:rsidRPr="00593DEA" w:rsidRDefault="00DA18AB" w:rsidP="00194175">
      <w:pPr>
        <w:pStyle w:val="22"/>
        <w:shd w:val="clear" w:color="auto" w:fill="auto"/>
        <w:spacing w:after="0" w:line="240" w:lineRule="auto"/>
        <w:ind w:firstLine="567"/>
        <w:rPr>
          <w:rFonts w:ascii="Times New Roman" w:hAnsi="Times New Roman" w:cs="Times New Roman"/>
          <w:b w:val="0"/>
          <w:bCs w:val="0"/>
          <w:spacing w:val="0"/>
          <w:sz w:val="27"/>
          <w:szCs w:val="27"/>
        </w:rPr>
      </w:pPr>
    </w:p>
    <w:p w:rsidR="00194175" w:rsidRPr="00593DEA" w:rsidRDefault="00194175" w:rsidP="00194175">
      <w:pPr>
        <w:pStyle w:val="22"/>
        <w:shd w:val="clear" w:color="auto" w:fill="auto"/>
        <w:spacing w:after="0" w:line="240" w:lineRule="auto"/>
        <w:ind w:firstLine="567"/>
        <w:jc w:val="center"/>
        <w:rPr>
          <w:rFonts w:ascii="Times New Roman" w:hAnsi="Times New Roman" w:cs="Times New Roman"/>
          <w:spacing w:val="0"/>
          <w:sz w:val="27"/>
          <w:szCs w:val="27"/>
        </w:rPr>
      </w:pPr>
      <w:r w:rsidRPr="00593DEA">
        <w:rPr>
          <w:rFonts w:ascii="Times New Roman" w:hAnsi="Times New Roman" w:cs="Times New Roman"/>
          <w:spacing w:val="0"/>
          <w:sz w:val="27"/>
          <w:szCs w:val="27"/>
        </w:rPr>
        <w:t>VIIІ.</w:t>
      </w:r>
      <w:r w:rsidRPr="00593DEA">
        <w:rPr>
          <w:rFonts w:ascii="Times New Roman" w:hAnsi="Times New Roman" w:cs="Times New Roman"/>
          <w:b w:val="0"/>
          <w:spacing w:val="0"/>
          <w:sz w:val="27"/>
          <w:szCs w:val="27"/>
        </w:rPr>
        <w:t xml:space="preserve"> </w:t>
      </w:r>
      <w:r w:rsidRPr="00593DEA">
        <w:rPr>
          <w:rFonts w:ascii="Times New Roman" w:hAnsi="Times New Roman" w:cs="Times New Roman"/>
          <w:spacing w:val="0"/>
          <w:sz w:val="27"/>
          <w:szCs w:val="27"/>
        </w:rPr>
        <w:t>Визначення показників результативності дії регуляторного акта</w:t>
      </w:r>
      <w:bookmarkEnd w:id="11"/>
    </w:p>
    <w:p w:rsidR="00194175" w:rsidRPr="00593DEA" w:rsidRDefault="00194175" w:rsidP="00194175">
      <w:pPr>
        <w:pStyle w:val="22"/>
        <w:shd w:val="clear" w:color="auto" w:fill="auto"/>
        <w:spacing w:after="0" w:line="240" w:lineRule="auto"/>
        <w:ind w:firstLine="567"/>
        <w:jc w:val="center"/>
        <w:rPr>
          <w:rFonts w:ascii="Times New Roman" w:hAnsi="Times New Roman" w:cs="Times New Roman"/>
          <w:b w:val="0"/>
          <w:spacing w:val="0"/>
          <w:sz w:val="27"/>
          <w:szCs w:val="27"/>
        </w:rPr>
      </w:pPr>
    </w:p>
    <w:p w:rsidR="00A97562" w:rsidRPr="00821E08" w:rsidRDefault="00A97562" w:rsidP="00A97562">
      <w:pPr>
        <w:widowControl w:val="0"/>
        <w:spacing w:after="0" w:line="240" w:lineRule="auto"/>
        <w:ind w:firstLine="567"/>
        <w:jc w:val="both"/>
        <w:rPr>
          <w:rFonts w:ascii="Times New Roman" w:hAnsi="Times New Roman" w:cs="Times New Roman"/>
          <w:sz w:val="27"/>
          <w:szCs w:val="27"/>
          <w:lang w:eastAsia="ru-RU"/>
        </w:rPr>
      </w:pPr>
      <w:r w:rsidRPr="00821E08">
        <w:rPr>
          <w:rFonts w:ascii="Times New Roman" w:hAnsi="Times New Roman" w:cs="Times New Roman"/>
          <w:sz w:val="27"/>
          <w:szCs w:val="27"/>
          <w:lang w:eastAsia="ru-RU"/>
        </w:rPr>
        <w:t>Прогнозними значеннями показників результативності регуляторного акта є:</w:t>
      </w:r>
    </w:p>
    <w:p w:rsidR="00A97562" w:rsidRPr="00821E08" w:rsidRDefault="00A97562" w:rsidP="00A97562">
      <w:pPr>
        <w:widowControl w:val="0"/>
        <w:spacing w:after="0" w:line="240" w:lineRule="auto"/>
        <w:ind w:firstLine="567"/>
        <w:jc w:val="both"/>
        <w:rPr>
          <w:rFonts w:ascii="Times New Roman" w:hAnsi="Times New Roman" w:cs="Times New Roman"/>
          <w:sz w:val="27"/>
          <w:szCs w:val="27"/>
          <w:lang w:eastAsia="ru-RU"/>
        </w:rPr>
      </w:pPr>
      <w:r w:rsidRPr="00821E08">
        <w:rPr>
          <w:rFonts w:ascii="Times New Roman" w:hAnsi="Times New Roman" w:cs="Times New Roman"/>
          <w:sz w:val="27"/>
          <w:szCs w:val="27"/>
          <w:lang w:eastAsia="ru-RU"/>
        </w:rPr>
        <w:t xml:space="preserve">1. Розмір надходжень до державного та місцевих бюджетів і державних цільових фондів, пов’язаних із дією акта  – не прогнозуються. </w:t>
      </w:r>
    </w:p>
    <w:p w:rsidR="00A97562" w:rsidRPr="00821E08" w:rsidRDefault="00A97562" w:rsidP="00A97562">
      <w:pPr>
        <w:widowControl w:val="0"/>
        <w:spacing w:after="0" w:line="240" w:lineRule="auto"/>
        <w:ind w:firstLine="567"/>
        <w:jc w:val="both"/>
        <w:rPr>
          <w:rFonts w:ascii="Times New Roman" w:hAnsi="Times New Roman" w:cs="Times New Roman"/>
          <w:sz w:val="27"/>
          <w:szCs w:val="27"/>
          <w:lang w:eastAsia="ru-RU"/>
        </w:rPr>
      </w:pPr>
      <w:r w:rsidRPr="00821E08">
        <w:rPr>
          <w:rFonts w:ascii="Times New Roman" w:hAnsi="Times New Roman" w:cs="Times New Roman"/>
          <w:sz w:val="27"/>
          <w:szCs w:val="27"/>
          <w:lang w:eastAsia="ru-RU"/>
        </w:rPr>
        <w:t xml:space="preserve">2. Кількість </w:t>
      </w:r>
      <w:r w:rsidR="009B1415" w:rsidRPr="00821E08">
        <w:rPr>
          <w:rFonts w:ascii="Times New Roman" w:hAnsi="Times New Roman" w:cs="Times New Roman"/>
          <w:sz w:val="27"/>
          <w:szCs w:val="27"/>
          <w:lang w:eastAsia="ru-RU"/>
        </w:rPr>
        <w:t xml:space="preserve">спеціалізованих суб’єктів господарювання, </w:t>
      </w:r>
      <w:r w:rsidR="009B1415" w:rsidRPr="00821E08">
        <w:rPr>
          <w:rFonts w:ascii="Times New Roman" w:hAnsi="Times New Roman" w:cs="Times New Roman"/>
          <w:color w:val="000000"/>
          <w:spacing w:val="5"/>
          <w:sz w:val="27"/>
          <w:szCs w:val="27"/>
          <w:shd w:val="clear" w:color="auto" w:fill="FFFFFF"/>
          <w:lang w:eastAsia="uk-UA"/>
        </w:rPr>
        <w:t>які виконують геологорозвідувальні роботи за рахунок коштів державного бюджету на території України за відповідний рік</w:t>
      </w:r>
      <w:r w:rsidR="00821E08" w:rsidRPr="00821E08">
        <w:rPr>
          <w:rFonts w:ascii="Times New Roman" w:hAnsi="Times New Roman" w:cs="Times New Roman"/>
          <w:color w:val="000000"/>
          <w:spacing w:val="5"/>
          <w:sz w:val="27"/>
          <w:szCs w:val="27"/>
          <w:shd w:val="clear" w:color="auto" w:fill="FFFFFF"/>
          <w:lang w:eastAsia="uk-UA"/>
        </w:rPr>
        <w:t xml:space="preserve"> – 12</w:t>
      </w:r>
      <w:r w:rsidR="009B1415" w:rsidRPr="00821E08">
        <w:rPr>
          <w:rFonts w:ascii="Times New Roman" w:hAnsi="Times New Roman" w:cs="Times New Roman"/>
          <w:color w:val="000000"/>
          <w:spacing w:val="5"/>
          <w:sz w:val="27"/>
          <w:szCs w:val="27"/>
          <w:shd w:val="clear" w:color="auto" w:fill="FFFFFF"/>
          <w:lang w:eastAsia="uk-UA"/>
        </w:rPr>
        <w:t>.</w:t>
      </w:r>
    </w:p>
    <w:p w:rsidR="00B158EF" w:rsidRPr="00821E08" w:rsidRDefault="00B158EF" w:rsidP="00B158EF">
      <w:pPr>
        <w:widowControl w:val="0"/>
        <w:spacing w:after="0" w:line="240" w:lineRule="auto"/>
        <w:ind w:firstLine="567"/>
        <w:jc w:val="both"/>
        <w:rPr>
          <w:rFonts w:ascii="Times New Roman" w:hAnsi="Times New Roman" w:cs="Times New Roman"/>
          <w:sz w:val="27"/>
          <w:szCs w:val="27"/>
          <w:lang w:eastAsia="ru-RU"/>
        </w:rPr>
      </w:pPr>
      <w:r w:rsidRPr="00821E08">
        <w:rPr>
          <w:rFonts w:ascii="Times New Roman" w:hAnsi="Times New Roman" w:cs="Times New Roman"/>
          <w:sz w:val="27"/>
          <w:szCs w:val="27"/>
          <w:lang w:eastAsia="ru-RU"/>
        </w:rPr>
        <w:t>3</w:t>
      </w:r>
      <w:r w:rsidR="00A97562" w:rsidRPr="00821E08">
        <w:rPr>
          <w:rFonts w:ascii="Times New Roman" w:hAnsi="Times New Roman" w:cs="Times New Roman"/>
          <w:sz w:val="27"/>
          <w:szCs w:val="27"/>
          <w:lang w:eastAsia="ru-RU"/>
        </w:rPr>
        <w:t>. Розмір коштів, які витрачатимуться суб’єктом господарювання у зв’язку із виконанням вимог акта</w:t>
      </w:r>
      <w:r w:rsidR="009B1415" w:rsidRPr="00821E08">
        <w:rPr>
          <w:rFonts w:ascii="Times New Roman" w:hAnsi="Times New Roman" w:cs="Times New Roman"/>
          <w:sz w:val="27"/>
          <w:szCs w:val="27"/>
          <w:lang w:eastAsia="ru-RU"/>
        </w:rPr>
        <w:t xml:space="preserve"> – не прогнозується</w:t>
      </w:r>
      <w:r w:rsidRPr="00821E08">
        <w:rPr>
          <w:rFonts w:ascii="Times New Roman" w:hAnsi="Times New Roman" w:cs="Times New Roman"/>
          <w:sz w:val="27"/>
          <w:szCs w:val="27"/>
          <w:lang w:eastAsia="ru-RU"/>
        </w:rPr>
        <w:t>.</w:t>
      </w:r>
    </w:p>
    <w:p w:rsidR="00A97562" w:rsidRPr="00821E08" w:rsidRDefault="00B158EF" w:rsidP="00B158EF">
      <w:pPr>
        <w:widowControl w:val="0"/>
        <w:spacing w:after="0" w:line="240" w:lineRule="auto"/>
        <w:ind w:firstLine="567"/>
        <w:jc w:val="both"/>
        <w:rPr>
          <w:rFonts w:ascii="Times New Roman" w:hAnsi="Times New Roman" w:cs="Times New Roman"/>
          <w:sz w:val="27"/>
          <w:szCs w:val="27"/>
          <w:lang w:eastAsia="ru-RU"/>
        </w:rPr>
      </w:pPr>
      <w:r w:rsidRPr="00821E08">
        <w:rPr>
          <w:rFonts w:ascii="Times New Roman" w:hAnsi="Times New Roman" w:cs="Times New Roman"/>
          <w:sz w:val="27"/>
          <w:szCs w:val="27"/>
          <w:lang w:eastAsia="ru-RU"/>
        </w:rPr>
        <w:t xml:space="preserve">4. </w:t>
      </w:r>
      <w:r w:rsidR="00A97562" w:rsidRPr="00821E08">
        <w:rPr>
          <w:rFonts w:ascii="Times New Roman" w:hAnsi="Times New Roman" w:cs="Times New Roman"/>
          <w:sz w:val="27"/>
          <w:szCs w:val="27"/>
          <w:lang w:eastAsia="ru-RU"/>
        </w:rPr>
        <w:t>Кількість часу, який витрачатиметься суб’єктом господарювання у зв’язку із виконанням вимог акта</w:t>
      </w:r>
      <w:r w:rsidR="00D169BE" w:rsidRPr="00821E08">
        <w:rPr>
          <w:rFonts w:ascii="Times New Roman" w:hAnsi="Times New Roman" w:cs="Times New Roman"/>
          <w:sz w:val="27"/>
          <w:szCs w:val="27"/>
          <w:lang w:eastAsia="ru-RU"/>
        </w:rPr>
        <w:t xml:space="preserve"> – </w:t>
      </w:r>
      <w:r w:rsidRPr="00821E08">
        <w:rPr>
          <w:rFonts w:ascii="Times New Roman" w:hAnsi="Times New Roman" w:cs="Times New Roman"/>
          <w:sz w:val="27"/>
          <w:szCs w:val="27"/>
          <w:lang w:eastAsia="ru-RU"/>
        </w:rPr>
        <w:t xml:space="preserve">час, необхідний для </w:t>
      </w:r>
      <w:r w:rsidR="00D169BE" w:rsidRPr="00821E08">
        <w:rPr>
          <w:rFonts w:ascii="Times New Roman" w:hAnsi="Times New Roman" w:cs="Times New Roman"/>
          <w:sz w:val="27"/>
          <w:szCs w:val="27"/>
          <w:lang w:eastAsia="ru-RU"/>
        </w:rPr>
        <w:t>проектування</w:t>
      </w:r>
      <w:r w:rsidRPr="00821E08">
        <w:rPr>
          <w:rFonts w:ascii="Times New Roman" w:hAnsi="Times New Roman" w:cs="Times New Roman"/>
          <w:sz w:val="27"/>
          <w:szCs w:val="27"/>
          <w:lang w:eastAsia="ru-RU"/>
        </w:rPr>
        <w:t>.</w:t>
      </w:r>
    </w:p>
    <w:p w:rsidR="00A97562" w:rsidRPr="00821E08" w:rsidRDefault="00B158EF" w:rsidP="00A97562">
      <w:pPr>
        <w:widowControl w:val="0"/>
        <w:spacing w:after="0" w:line="240" w:lineRule="auto"/>
        <w:ind w:firstLine="567"/>
        <w:jc w:val="both"/>
        <w:rPr>
          <w:rFonts w:ascii="Times New Roman" w:hAnsi="Times New Roman" w:cs="Times New Roman"/>
          <w:sz w:val="27"/>
          <w:szCs w:val="27"/>
          <w:lang w:eastAsia="ru-RU"/>
        </w:rPr>
      </w:pPr>
      <w:r w:rsidRPr="00821E08">
        <w:rPr>
          <w:rFonts w:ascii="Times New Roman" w:hAnsi="Times New Roman" w:cs="Times New Roman"/>
          <w:sz w:val="27"/>
          <w:szCs w:val="27"/>
          <w:lang w:eastAsia="ru-RU"/>
        </w:rPr>
        <w:t>5</w:t>
      </w:r>
      <w:r w:rsidR="00A97562" w:rsidRPr="00821E08">
        <w:rPr>
          <w:rFonts w:ascii="Times New Roman" w:hAnsi="Times New Roman" w:cs="Times New Roman"/>
          <w:sz w:val="27"/>
          <w:szCs w:val="27"/>
          <w:lang w:eastAsia="ru-RU"/>
        </w:rPr>
        <w:t xml:space="preserve">. Рівень поінформованості </w:t>
      </w:r>
      <w:r w:rsidRPr="00821E08">
        <w:rPr>
          <w:rFonts w:ascii="Times New Roman" w:hAnsi="Times New Roman" w:cs="Times New Roman"/>
          <w:sz w:val="27"/>
          <w:szCs w:val="27"/>
          <w:lang w:eastAsia="ru-RU"/>
        </w:rPr>
        <w:t xml:space="preserve">спеціалізованих </w:t>
      </w:r>
      <w:r w:rsidR="00A97562" w:rsidRPr="00821E08">
        <w:rPr>
          <w:rFonts w:ascii="Times New Roman" w:hAnsi="Times New Roman" w:cs="Times New Roman"/>
          <w:sz w:val="27"/>
          <w:szCs w:val="27"/>
          <w:lang w:eastAsia="ru-RU"/>
        </w:rPr>
        <w:t xml:space="preserve">суб’єктів господарювання – високий. Проєкт акта та відповідний аналіз регуляторного впливу оприлюднено на офіційному вебсайті </w:t>
      </w:r>
      <w:bookmarkStart w:id="12" w:name="_Hlk23429338"/>
      <w:r w:rsidR="00A97562" w:rsidRPr="00821E08">
        <w:rPr>
          <w:rFonts w:ascii="Times New Roman" w:hAnsi="Times New Roman" w:cs="Times New Roman"/>
          <w:sz w:val="27"/>
          <w:szCs w:val="27"/>
          <w:lang w:eastAsia="ru-RU"/>
        </w:rPr>
        <w:t>Державної служби геології та надр України</w:t>
      </w:r>
      <w:bookmarkEnd w:id="12"/>
      <w:r w:rsidR="00A97562" w:rsidRPr="00821E08">
        <w:rPr>
          <w:rFonts w:ascii="Times New Roman" w:hAnsi="Times New Roman" w:cs="Times New Roman"/>
          <w:sz w:val="27"/>
          <w:szCs w:val="27"/>
          <w:lang w:eastAsia="ru-RU"/>
        </w:rPr>
        <w:t>.</w:t>
      </w:r>
    </w:p>
    <w:p w:rsidR="00A97562" w:rsidRPr="00821E08" w:rsidRDefault="00A97562" w:rsidP="00A97562">
      <w:pPr>
        <w:widowControl w:val="0"/>
        <w:spacing w:after="0" w:line="240" w:lineRule="auto"/>
        <w:ind w:firstLine="567"/>
        <w:jc w:val="both"/>
        <w:rPr>
          <w:rFonts w:ascii="Times New Roman" w:hAnsi="Times New Roman" w:cs="Times New Roman"/>
          <w:sz w:val="27"/>
          <w:szCs w:val="27"/>
          <w:lang w:eastAsia="ru-RU"/>
        </w:rPr>
      </w:pPr>
      <w:r w:rsidRPr="00821E08">
        <w:rPr>
          <w:rFonts w:ascii="Times New Roman" w:hAnsi="Times New Roman" w:cs="Times New Roman"/>
          <w:sz w:val="27"/>
          <w:szCs w:val="27"/>
          <w:lang w:eastAsia="ru-RU"/>
        </w:rPr>
        <w:t>Після прийняття регуляторного акта він буде опублікований у Офіційному віснику України.</w:t>
      </w:r>
    </w:p>
    <w:p w:rsidR="00B158EF" w:rsidRPr="00821E08" w:rsidRDefault="00B158EF" w:rsidP="00A97562">
      <w:pPr>
        <w:widowControl w:val="0"/>
        <w:spacing w:after="0" w:line="240" w:lineRule="auto"/>
        <w:ind w:firstLine="567"/>
        <w:jc w:val="both"/>
        <w:rPr>
          <w:rFonts w:ascii="Times New Roman" w:hAnsi="Times New Roman" w:cs="Times New Roman"/>
          <w:sz w:val="27"/>
          <w:szCs w:val="27"/>
          <w:u w:val="single"/>
          <w:lang w:eastAsia="ru-RU"/>
        </w:rPr>
      </w:pPr>
    </w:p>
    <w:p w:rsidR="00A97562" w:rsidRPr="00DA18AB" w:rsidRDefault="00A97562" w:rsidP="00A97562">
      <w:pPr>
        <w:widowControl w:val="0"/>
        <w:spacing w:after="0" w:line="240" w:lineRule="auto"/>
        <w:ind w:firstLine="567"/>
        <w:jc w:val="both"/>
        <w:rPr>
          <w:rFonts w:ascii="Times New Roman" w:hAnsi="Times New Roman" w:cs="Times New Roman"/>
          <w:sz w:val="27"/>
          <w:szCs w:val="27"/>
          <w:lang w:eastAsia="ru-RU"/>
        </w:rPr>
      </w:pPr>
      <w:r w:rsidRPr="00DA18AB">
        <w:rPr>
          <w:rFonts w:ascii="Times New Roman" w:hAnsi="Times New Roman" w:cs="Times New Roman"/>
          <w:sz w:val="27"/>
          <w:szCs w:val="27"/>
          <w:lang w:eastAsia="ru-RU"/>
        </w:rPr>
        <w:t xml:space="preserve">Додатковими показниками результативності запровадження регуляторного акта, виходячи з його цілей, слугуватимуть: </w:t>
      </w:r>
    </w:p>
    <w:p w:rsidR="00A97562" w:rsidRPr="00821E08" w:rsidRDefault="0082244E" w:rsidP="0082244E">
      <w:pPr>
        <w:widowControl w:val="0"/>
        <w:spacing w:after="0" w:line="240" w:lineRule="auto"/>
        <w:ind w:firstLine="567"/>
        <w:jc w:val="both"/>
        <w:rPr>
          <w:rFonts w:ascii="Times New Roman" w:hAnsi="Times New Roman" w:cs="Times New Roman"/>
          <w:bCs/>
          <w:sz w:val="27"/>
          <w:szCs w:val="27"/>
          <w:lang w:eastAsia="ru-RU"/>
        </w:rPr>
      </w:pPr>
      <w:r w:rsidRPr="00821E08">
        <w:rPr>
          <w:rFonts w:ascii="Times New Roman" w:hAnsi="Times New Roman" w:cs="Times New Roman"/>
          <w:sz w:val="27"/>
          <w:szCs w:val="27"/>
          <w:lang w:eastAsia="ru-RU"/>
        </w:rPr>
        <w:t>1. </w:t>
      </w:r>
      <w:r w:rsidR="00A97562" w:rsidRPr="00821E08">
        <w:rPr>
          <w:rFonts w:ascii="Times New Roman" w:hAnsi="Times New Roman" w:cs="Times New Roman"/>
          <w:sz w:val="27"/>
          <w:szCs w:val="27"/>
          <w:lang w:eastAsia="ru-RU"/>
        </w:rPr>
        <w:t xml:space="preserve">Кількість </w:t>
      </w:r>
      <w:r w:rsidR="00B158EF" w:rsidRPr="00821E08">
        <w:rPr>
          <w:rFonts w:ascii="Times New Roman" w:hAnsi="Times New Roman" w:cs="Times New Roman"/>
          <w:sz w:val="27"/>
          <w:szCs w:val="27"/>
          <w:lang w:eastAsia="ru-RU"/>
        </w:rPr>
        <w:t xml:space="preserve">спеціалізованих суб’єктів господарювання, </w:t>
      </w:r>
      <w:r w:rsidR="00B158EF" w:rsidRPr="00821E08">
        <w:rPr>
          <w:rFonts w:ascii="Times New Roman" w:hAnsi="Times New Roman" w:cs="Times New Roman"/>
          <w:sz w:val="27"/>
          <w:szCs w:val="27"/>
          <w:lang w:eastAsia="ru-RU"/>
        </w:rPr>
        <w:t>що</w:t>
      </w:r>
      <w:r w:rsidR="00B158EF" w:rsidRPr="00821E08">
        <w:rPr>
          <w:rFonts w:ascii="Times New Roman" w:hAnsi="Times New Roman" w:cs="Times New Roman"/>
          <w:color w:val="000000"/>
          <w:spacing w:val="5"/>
          <w:sz w:val="27"/>
          <w:szCs w:val="27"/>
          <w:shd w:val="clear" w:color="auto" w:fill="FFFFFF"/>
          <w:lang w:eastAsia="uk-UA"/>
        </w:rPr>
        <w:t xml:space="preserve"> виконують геологорозвідувальні роботи за рахунок коштів державного бюджету на території України за відповідний рік</w:t>
      </w:r>
      <w:r w:rsidR="00B158EF" w:rsidRPr="00821E08">
        <w:rPr>
          <w:rFonts w:ascii="Times New Roman" w:hAnsi="Times New Roman" w:cs="Times New Roman"/>
          <w:color w:val="000000"/>
          <w:spacing w:val="5"/>
          <w:sz w:val="27"/>
          <w:szCs w:val="27"/>
          <w:shd w:val="clear" w:color="auto" w:fill="FFFFFF"/>
          <w:lang w:eastAsia="uk-UA"/>
        </w:rPr>
        <w:t xml:space="preserve">, які подали до затвердження проектно-кошторисну документацію </w:t>
      </w:r>
      <w:r w:rsidR="00B158EF" w:rsidRPr="00821E08">
        <w:rPr>
          <w:rFonts w:ascii="Times New Roman" w:hAnsi="Times New Roman" w:cs="Times New Roman"/>
          <w:sz w:val="27"/>
          <w:szCs w:val="27"/>
          <w:lang w:eastAsia="ru-RU"/>
        </w:rPr>
        <w:t>та/або</w:t>
      </w:r>
      <w:r w:rsidR="00A97562" w:rsidRPr="00821E08">
        <w:rPr>
          <w:rFonts w:ascii="Times New Roman" w:hAnsi="Times New Roman" w:cs="Times New Roman"/>
          <w:sz w:val="27"/>
          <w:szCs w:val="27"/>
          <w:lang w:eastAsia="ru-RU"/>
        </w:rPr>
        <w:t xml:space="preserve"> внесення до н</w:t>
      </w:r>
      <w:r w:rsidR="00B158EF" w:rsidRPr="00821E08">
        <w:rPr>
          <w:rFonts w:ascii="Times New Roman" w:hAnsi="Times New Roman" w:cs="Times New Roman"/>
          <w:sz w:val="27"/>
          <w:szCs w:val="27"/>
          <w:lang w:eastAsia="ru-RU"/>
        </w:rPr>
        <w:t>еї</w:t>
      </w:r>
      <w:r w:rsidR="00A97562" w:rsidRPr="00821E08">
        <w:rPr>
          <w:rFonts w:ascii="Times New Roman" w:hAnsi="Times New Roman" w:cs="Times New Roman"/>
          <w:sz w:val="27"/>
          <w:szCs w:val="27"/>
          <w:lang w:eastAsia="ru-RU"/>
        </w:rPr>
        <w:t xml:space="preserve"> змін</w:t>
      </w:r>
      <w:r w:rsidR="00A97562" w:rsidRPr="00821E08">
        <w:rPr>
          <w:rFonts w:ascii="Times New Roman" w:hAnsi="Times New Roman" w:cs="Times New Roman"/>
          <w:bCs/>
          <w:sz w:val="27"/>
          <w:szCs w:val="27"/>
          <w:lang w:eastAsia="ru-RU"/>
        </w:rPr>
        <w:t>.</w:t>
      </w:r>
    </w:p>
    <w:p w:rsidR="002C7995" w:rsidRPr="00821E08" w:rsidRDefault="0082244E" w:rsidP="0082244E">
      <w:pPr>
        <w:widowControl w:val="0"/>
        <w:spacing w:after="0" w:line="240" w:lineRule="auto"/>
        <w:ind w:firstLine="567"/>
        <w:jc w:val="both"/>
        <w:rPr>
          <w:rFonts w:ascii="Times New Roman" w:hAnsi="Times New Roman" w:cs="Times New Roman"/>
          <w:bCs/>
          <w:sz w:val="27"/>
          <w:szCs w:val="27"/>
          <w:lang w:eastAsia="ru-RU"/>
        </w:rPr>
      </w:pPr>
      <w:r w:rsidRPr="00821E08">
        <w:rPr>
          <w:rFonts w:ascii="Times New Roman" w:hAnsi="Times New Roman" w:cs="Times New Roman"/>
          <w:sz w:val="27"/>
          <w:szCs w:val="27"/>
          <w:lang w:eastAsia="ru-RU"/>
        </w:rPr>
        <w:t>2. </w:t>
      </w:r>
      <w:r w:rsidR="002C7995" w:rsidRPr="00821E08">
        <w:rPr>
          <w:rFonts w:ascii="Times New Roman" w:hAnsi="Times New Roman" w:cs="Times New Roman"/>
          <w:sz w:val="27"/>
          <w:szCs w:val="27"/>
          <w:lang w:eastAsia="ru-RU"/>
        </w:rPr>
        <w:t xml:space="preserve">Кількість </w:t>
      </w:r>
      <w:r w:rsidR="002C7995" w:rsidRPr="00821E08">
        <w:rPr>
          <w:rFonts w:ascii="Times New Roman" w:hAnsi="Times New Roman" w:cs="Times New Roman"/>
          <w:sz w:val="27"/>
          <w:szCs w:val="27"/>
          <w:lang w:eastAsia="ru-RU"/>
        </w:rPr>
        <w:t xml:space="preserve">затвердженої проектно-кошторисної документації та/або змін до неї, яку подано </w:t>
      </w:r>
      <w:r w:rsidR="002C7995" w:rsidRPr="00821E08">
        <w:rPr>
          <w:rFonts w:ascii="Times New Roman" w:hAnsi="Times New Roman" w:cs="Times New Roman"/>
          <w:sz w:val="27"/>
          <w:szCs w:val="27"/>
          <w:lang w:eastAsia="ru-RU"/>
        </w:rPr>
        <w:t>спеціалізовани</w:t>
      </w:r>
      <w:r w:rsidR="002C7995" w:rsidRPr="00821E08">
        <w:rPr>
          <w:rFonts w:ascii="Times New Roman" w:hAnsi="Times New Roman" w:cs="Times New Roman"/>
          <w:sz w:val="27"/>
          <w:szCs w:val="27"/>
          <w:lang w:eastAsia="ru-RU"/>
        </w:rPr>
        <w:t>ми</w:t>
      </w:r>
      <w:r w:rsidR="002C7995" w:rsidRPr="00821E08">
        <w:rPr>
          <w:rFonts w:ascii="Times New Roman" w:hAnsi="Times New Roman" w:cs="Times New Roman"/>
          <w:sz w:val="27"/>
          <w:szCs w:val="27"/>
          <w:lang w:eastAsia="ru-RU"/>
        </w:rPr>
        <w:t xml:space="preserve"> суб’єкт</w:t>
      </w:r>
      <w:r w:rsidR="002C7995" w:rsidRPr="00821E08">
        <w:rPr>
          <w:rFonts w:ascii="Times New Roman" w:hAnsi="Times New Roman" w:cs="Times New Roman"/>
          <w:sz w:val="27"/>
          <w:szCs w:val="27"/>
          <w:lang w:eastAsia="ru-RU"/>
        </w:rPr>
        <w:t>ами</w:t>
      </w:r>
      <w:r w:rsidR="002C7995" w:rsidRPr="00821E08">
        <w:rPr>
          <w:rFonts w:ascii="Times New Roman" w:hAnsi="Times New Roman" w:cs="Times New Roman"/>
          <w:sz w:val="27"/>
          <w:szCs w:val="27"/>
          <w:lang w:eastAsia="ru-RU"/>
        </w:rPr>
        <w:t xml:space="preserve"> господарювання, що</w:t>
      </w:r>
      <w:r w:rsidR="002C7995" w:rsidRPr="00821E08">
        <w:rPr>
          <w:rFonts w:ascii="Times New Roman" w:hAnsi="Times New Roman" w:cs="Times New Roman"/>
          <w:color w:val="000000"/>
          <w:spacing w:val="5"/>
          <w:sz w:val="27"/>
          <w:szCs w:val="27"/>
          <w:shd w:val="clear" w:color="auto" w:fill="FFFFFF"/>
          <w:lang w:eastAsia="uk-UA"/>
        </w:rPr>
        <w:t xml:space="preserve"> виконують геологорозвідувальні роботи за рахунок коштів державного бюджету на території України за відповідний рік</w:t>
      </w:r>
      <w:r w:rsidR="002C7995" w:rsidRPr="00821E08">
        <w:rPr>
          <w:rFonts w:ascii="Times New Roman" w:hAnsi="Times New Roman" w:cs="Times New Roman"/>
          <w:color w:val="000000"/>
          <w:spacing w:val="5"/>
          <w:sz w:val="27"/>
          <w:szCs w:val="27"/>
          <w:shd w:val="clear" w:color="auto" w:fill="FFFFFF"/>
          <w:lang w:eastAsia="uk-UA"/>
        </w:rPr>
        <w:t>.</w:t>
      </w:r>
    </w:p>
    <w:p w:rsidR="002C7995" w:rsidRPr="00A97562" w:rsidRDefault="0082244E" w:rsidP="0082244E">
      <w:pPr>
        <w:widowControl w:val="0"/>
        <w:spacing w:after="0" w:line="240" w:lineRule="auto"/>
        <w:ind w:firstLine="567"/>
        <w:jc w:val="both"/>
        <w:rPr>
          <w:rFonts w:ascii="Times New Roman" w:hAnsi="Times New Roman" w:cs="Times New Roman"/>
          <w:bCs/>
          <w:sz w:val="27"/>
          <w:szCs w:val="27"/>
          <w:lang w:eastAsia="ru-RU"/>
        </w:rPr>
      </w:pPr>
      <w:r w:rsidRPr="00821E08">
        <w:rPr>
          <w:rFonts w:ascii="Times New Roman" w:hAnsi="Times New Roman" w:cs="Times New Roman"/>
          <w:color w:val="000000"/>
          <w:spacing w:val="5"/>
          <w:sz w:val="27"/>
          <w:szCs w:val="27"/>
          <w:shd w:val="clear" w:color="auto" w:fill="FFFFFF"/>
          <w:lang w:eastAsia="uk-UA"/>
        </w:rPr>
        <w:t>3. </w:t>
      </w:r>
      <w:r w:rsidR="002C7995" w:rsidRPr="00821E08">
        <w:rPr>
          <w:rFonts w:ascii="Times New Roman" w:hAnsi="Times New Roman" w:cs="Times New Roman"/>
          <w:color w:val="000000"/>
          <w:spacing w:val="5"/>
          <w:sz w:val="27"/>
          <w:szCs w:val="27"/>
          <w:shd w:val="clear" w:color="auto" w:fill="FFFFFF"/>
          <w:lang w:eastAsia="uk-UA"/>
        </w:rPr>
        <w:t>Розмір кошторисної вартості геологорозвідувальних робіт відповідно до проектно-кошторисної документації та/або змін до неї, яку затверджено за відповідний період</w:t>
      </w:r>
      <w:r w:rsidR="002C7995" w:rsidRPr="00821E08">
        <w:rPr>
          <w:rFonts w:ascii="Times New Roman" w:hAnsi="Times New Roman" w:cs="Times New Roman"/>
          <w:bCs/>
          <w:sz w:val="27"/>
          <w:szCs w:val="27"/>
          <w:lang w:eastAsia="ru-RU"/>
        </w:rPr>
        <w:t>.</w:t>
      </w:r>
    </w:p>
    <w:p w:rsidR="00A97562" w:rsidRDefault="00A97562" w:rsidP="00AF761F">
      <w:pPr>
        <w:widowControl w:val="0"/>
        <w:spacing w:after="0" w:line="240" w:lineRule="auto"/>
        <w:ind w:firstLine="567"/>
        <w:jc w:val="both"/>
        <w:rPr>
          <w:rFonts w:ascii="Times New Roman" w:hAnsi="Times New Roman" w:cs="Times New Roman"/>
          <w:strike/>
          <w:sz w:val="27"/>
          <w:szCs w:val="27"/>
          <w:lang w:eastAsia="ru-RU"/>
        </w:rPr>
      </w:pPr>
    </w:p>
    <w:p w:rsidR="00A97562" w:rsidRDefault="00A97562" w:rsidP="00AF761F">
      <w:pPr>
        <w:widowControl w:val="0"/>
        <w:spacing w:after="0" w:line="240" w:lineRule="auto"/>
        <w:ind w:firstLine="567"/>
        <w:jc w:val="both"/>
        <w:rPr>
          <w:rFonts w:ascii="Times New Roman" w:hAnsi="Times New Roman" w:cs="Times New Roman"/>
          <w:strike/>
          <w:sz w:val="27"/>
          <w:szCs w:val="27"/>
          <w:lang w:eastAsia="ru-RU"/>
        </w:rPr>
      </w:pPr>
    </w:p>
    <w:p w:rsidR="00194175" w:rsidRPr="00593DEA" w:rsidRDefault="00194175" w:rsidP="00194175">
      <w:pPr>
        <w:widowControl w:val="0"/>
        <w:spacing w:after="0" w:line="240" w:lineRule="auto"/>
        <w:ind w:firstLine="567"/>
        <w:jc w:val="center"/>
        <w:rPr>
          <w:rFonts w:ascii="Times New Roman" w:hAnsi="Times New Roman" w:cs="Times New Roman"/>
          <w:b/>
          <w:bCs/>
          <w:sz w:val="27"/>
          <w:szCs w:val="27"/>
          <w:lang w:eastAsia="ru-RU"/>
        </w:rPr>
      </w:pPr>
      <w:r w:rsidRPr="00593DEA">
        <w:rPr>
          <w:rFonts w:ascii="Times New Roman" w:hAnsi="Times New Roman" w:cs="Times New Roman"/>
          <w:b/>
          <w:sz w:val="27"/>
          <w:szCs w:val="27"/>
        </w:rPr>
        <w:t>ІХ. Визначення заходів, за допомогою яких здійснюватиметься відстеження результативності дії регуляторного акта</w:t>
      </w:r>
    </w:p>
    <w:p w:rsidR="00194175" w:rsidRPr="00593DEA" w:rsidRDefault="00194175" w:rsidP="00194175">
      <w:pPr>
        <w:pStyle w:val="20"/>
        <w:shd w:val="clear" w:color="auto" w:fill="auto"/>
        <w:tabs>
          <w:tab w:val="left" w:pos="1458"/>
        </w:tabs>
        <w:spacing w:after="0" w:line="240" w:lineRule="auto"/>
        <w:ind w:firstLine="567"/>
        <w:rPr>
          <w:rFonts w:ascii="Times New Roman" w:hAnsi="Times New Roman" w:cs="Times New Roman"/>
          <w:spacing w:val="0"/>
          <w:sz w:val="27"/>
          <w:szCs w:val="27"/>
        </w:rPr>
      </w:pPr>
    </w:p>
    <w:p w:rsidR="00BD180F" w:rsidRPr="00BD180F" w:rsidRDefault="00BD180F" w:rsidP="00BD180F">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BD180F">
        <w:rPr>
          <w:rFonts w:ascii="Times New Roman" w:hAnsi="Times New Roman" w:cs="Times New Roman"/>
          <w:bCs/>
          <w:sz w:val="27"/>
          <w:szCs w:val="27"/>
          <w:lang w:val="uk-UA"/>
        </w:rPr>
        <w:t xml:space="preserve">Базове відстеження результативності регуляторного акта буде здійснено після набрання чинності регуляторним актом, але не пізніше дня, з якого починається проведення повторного відстеження результативності цього акта. </w:t>
      </w:r>
    </w:p>
    <w:p w:rsidR="00BD180F" w:rsidRPr="00BD180F" w:rsidRDefault="00BD180F" w:rsidP="00BD180F">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BD180F">
        <w:rPr>
          <w:rFonts w:ascii="Times New Roman" w:hAnsi="Times New Roman" w:cs="Times New Roman"/>
          <w:bCs/>
          <w:sz w:val="27"/>
          <w:szCs w:val="27"/>
          <w:lang w:val="uk-UA"/>
        </w:rPr>
        <w:t xml:space="preserve">Повторне відстеження результативності регуляторного акта буде здійснено через рік з дня набрання ним чинності, але не пізніше ніж через два роки з дня </w:t>
      </w:r>
      <w:r w:rsidRPr="00BD180F">
        <w:rPr>
          <w:rFonts w:ascii="Times New Roman" w:hAnsi="Times New Roman" w:cs="Times New Roman"/>
          <w:bCs/>
          <w:sz w:val="27"/>
          <w:szCs w:val="27"/>
          <w:lang w:val="uk-UA"/>
        </w:rPr>
        <w:lastRenderedPageBreak/>
        <w:t xml:space="preserve">набрання чинності цим регуляторним актом. </w:t>
      </w:r>
      <w:r w:rsidRPr="00593DEA">
        <w:rPr>
          <w:rFonts w:ascii="Times New Roman" w:hAnsi="Times New Roman" w:cs="Times New Roman"/>
          <w:bCs/>
          <w:sz w:val="27"/>
          <w:szCs w:val="27"/>
          <w:lang w:val="uk-UA"/>
        </w:rPr>
        <w:t>За результатами даного відстеження відбудеться порівняння показників базового та повторного відстеження.</w:t>
      </w:r>
    </w:p>
    <w:p w:rsidR="00BD180F" w:rsidRPr="00BD180F" w:rsidRDefault="00BD180F" w:rsidP="00BD180F">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BD180F">
        <w:rPr>
          <w:rFonts w:ascii="Times New Roman" w:hAnsi="Times New Roman" w:cs="Times New Roman"/>
          <w:bCs/>
          <w:sz w:val="27"/>
          <w:szCs w:val="27"/>
          <w:lang w:val="uk-UA"/>
        </w:rPr>
        <w:t xml:space="preserve">Періодичні відстеження результативності регуляторного акта будуть здійснюватися </w:t>
      </w:r>
      <w:r>
        <w:rPr>
          <w:rFonts w:ascii="Times New Roman" w:hAnsi="Times New Roman" w:cs="Times New Roman"/>
          <w:bCs/>
          <w:sz w:val="27"/>
          <w:szCs w:val="27"/>
          <w:lang w:val="uk-UA"/>
        </w:rPr>
        <w:t xml:space="preserve">один </w:t>
      </w:r>
      <w:r w:rsidRPr="00BD180F">
        <w:rPr>
          <w:rFonts w:ascii="Times New Roman" w:hAnsi="Times New Roman" w:cs="Times New Roman"/>
          <w:bCs/>
          <w:sz w:val="27"/>
          <w:szCs w:val="27"/>
          <w:lang w:val="uk-UA"/>
        </w:rPr>
        <w:t xml:space="preserve">раз на кожні три роки починаючи з дня закінчення заходів з повторного відстеження результативності цього акта. </w:t>
      </w:r>
    </w:p>
    <w:p w:rsidR="002F19C5" w:rsidRPr="00593DEA" w:rsidRDefault="002F19C5" w:rsidP="002F19C5">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593DEA">
        <w:rPr>
          <w:rFonts w:ascii="Times New Roman" w:hAnsi="Times New Roman" w:cs="Times New Roman"/>
          <w:bCs/>
          <w:sz w:val="27"/>
          <w:szCs w:val="27"/>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8626C9" w:rsidRPr="00593DEA" w:rsidRDefault="002F19C5" w:rsidP="002F19C5">
      <w:pPr>
        <w:pStyle w:val="Textbody"/>
        <w:shd w:val="clear" w:color="auto" w:fill="FFFFFF"/>
        <w:spacing w:after="0" w:line="240" w:lineRule="auto"/>
        <w:ind w:firstLine="567"/>
        <w:jc w:val="both"/>
        <w:rPr>
          <w:rFonts w:ascii="Times New Roman" w:hAnsi="Times New Roman" w:cs="Times New Roman"/>
          <w:sz w:val="27"/>
          <w:szCs w:val="27"/>
          <w:lang w:val="uk-UA"/>
        </w:rPr>
      </w:pPr>
      <w:r w:rsidRPr="00593DEA">
        <w:rPr>
          <w:rFonts w:ascii="Times New Roman" w:hAnsi="Times New Roman" w:cs="Times New Roman"/>
          <w:bCs/>
          <w:sz w:val="27"/>
          <w:szCs w:val="27"/>
          <w:lang w:val="uk-UA"/>
        </w:rPr>
        <w:t>Відстеження результативності регуляторного акта буде здійснювати Міністерство захисту довкілля та природних ресурсів України спільно з Державною службою геології та надр У</w:t>
      </w:r>
      <w:r w:rsidR="00756D2A" w:rsidRPr="00593DEA">
        <w:rPr>
          <w:rFonts w:ascii="Times New Roman" w:hAnsi="Times New Roman" w:cs="Times New Roman"/>
          <w:bCs/>
          <w:sz w:val="27"/>
          <w:szCs w:val="27"/>
          <w:lang w:val="uk-UA"/>
        </w:rPr>
        <w:t>к</w:t>
      </w:r>
      <w:r w:rsidRPr="00593DEA">
        <w:rPr>
          <w:rFonts w:ascii="Times New Roman" w:hAnsi="Times New Roman" w:cs="Times New Roman"/>
          <w:bCs/>
          <w:sz w:val="27"/>
          <w:szCs w:val="27"/>
          <w:lang w:val="uk-UA"/>
        </w:rPr>
        <w:t>раїни протягом усього с</w:t>
      </w:r>
      <w:r w:rsidR="00756D2A" w:rsidRPr="00593DEA">
        <w:rPr>
          <w:rFonts w:ascii="Times New Roman" w:hAnsi="Times New Roman" w:cs="Times New Roman"/>
          <w:bCs/>
          <w:sz w:val="27"/>
          <w:szCs w:val="27"/>
          <w:lang w:val="uk-UA"/>
        </w:rPr>
        <w:t>т</w:t>
      </w:r>
      <w:r w:rsidRPr="00593DEA">
        <w:rPr>
          <w:rFonts w:ascii="Times New Roman" w:hAnsi="Times New Roman" w:cs="Times New Roman"/>
          <w:bCs/>
          <w:sz w:val="27"/>
          <w:szCs w:val="27"/>
          <w:lang w:val="uk-UA"/>
        </w:rPr>
        <w:t>року його дії шляхом розгляду пропозицій та зауважень, які надійдуть до нього</w:t>
      </w:r>
      <w:r w:rsidR="009073E7">
        <w:rPr>
          <w:rFonts w:ascii="Times New Roman" w:hAnsi="Times New Roman" w:cs="Times New Roman"/>
          <w:bCs/>
          <w:sz w:val="27"/>
          <w:szCs w:val="27"/>
          <w:lang w:val="uk-UA"/>
        </w:rPr>
        <w:t>.</w:t>
      </w:r>
    </w:p>
    <w:p w:rsidR="00584E2F" w:rsidRPr="004138AA" w:rsidRDefault="00584E2F" w:rsidP="00584E2F">
      <w:pPr>
        <w:spacing w:after="0" w:line="240" w:lineRule="auto"/>
        <w:rPr>
          <w:rFonts w:ascii="Times New Roman" w:hAnsi="Times New Roman" w:cs="Times New Roman"/>
          <w:sz w:val="27"/>
          <w:szCs w:val="27"/>
          <w:lang w:val="en-US"/>
        </w:rPr>
      </w:pPr>
    </w:p>
    <w:p w:rsidR="002F19C5" w:rsidRPr="00593DEA" w:rsidRDefault="002F19C5" w:rsidP="00584E2F">
      <w:pPr>
        <w:spacing w:after="0" w:line="240" w:lineRule="auto"/>
        <w:rPr>
          <w:rFonts w:ascii="Times New Roman" w:hAnsi="Times New Roman" w:cs="Times New Roman"/>
          <w:sz w:val="27"/>
          <w:szCs w:val="27"/>
        </w:rPr>
      </w:pPr>
    </w:p>
    <w:p w:rsidR="00584E2F" w:rsidRPr="00593DEA" w:rsidRDefault="00584E2F" w:rsidP="001627B4">
      <w:pPr>
        <w:spacing w:after="0" w:line="240" w:lineRule="auto"/>
        <w:rPr>
          <w:rFonts w:ascii="Times New Roman" w:eastAsia="Times New Roman" w:hAnsi="Times New Roman" w:cs="Times New Roman"/>
          <w:b/>
          <w:sz w:val="27"/>
          <w:szCs w:val="27"/>
          <w:lang w:eastAsia="ru-RU"/>
        </w:rPr>
      </w:pPr>
      <w:r w:rsidRPr="00593DEA">
        <w:rPr>
          <w:rFonts w:ascii="Times New Roman" w:eastAsia="Times New Roman" w:hAnsi="Times New Roman" w:cs="Times New Roman"/>
          <w:b/>
          <w:sz w:val="27"/>
          <w:szCs w:val="27"/>
          <w:lang w:eastAsia="ru-RU"/>
        </w:rPr>
        <w:t xml:space="preserve">Голова Державної служби </w:t>
      </w:r>
    </w:p>
    <w:p w:rsidR="00584E2F" w:rsidRPr="00593DEA" w:rsidRDefault="00584E2F" w:rsidP="001627B4">
      <w:pPr>
        <w:spacing w:after="0" w:line="240" w:lineRule="auto"/>
        <w:rPr>
          <w:rFonts w:ascii="Times New Roman" w:eastAsia="Times New Roman" w:hAnsi="Times New Roman" w:cs="Times New Roman"/>
          <w:b/>
          <w:sz w:val="27"/>
          <w:szCs w:val="27"/>
          <w:lang w:eastAsia="ru-RU"/>
        </w:rPr>
      </w:pPr>
      <w:r w:rsidRPr="00593DEA">
        <w:rPr>
          <w:rFonts w:ascii="Times New Roman" w:eastAsia="Times New Roman" w:hAnsi="Times New Roman" w:cs="Times New Roman"/>
          <w:b/>
          <w:sz w:val="27"/>
          <w:szCs w:val="27"/>
          <w:lang w:eastAsia="ru-RU"/>
        </w:rPr>
        <w:t xml:space="preserve">геології та надр України                                 </w:t>
      </w:r>
      <w:r w:rsidR="00593DEA" w:rsidRPr="00593DEA">
        <w:rPr>
          <w:rFonts w:ascii="Times New Roman" w:eastAsia="Times New Roman" w:hAnsi="Times New Roman" w:cs="Times New Roman"/>
          <w:b/>
          <w:sz w:val="27"/>
          <w:szCs w:val="27"/>
          <w:lang w:eastAsia="ru-RU"/>
        </w:rPr>
        <w:t xml:space="preserve">                              </w:t>
      </w:r>
      <w:r w:rsidRPr="00593DEA">
        <w:rPr>
          <w:rFonts w:ascii="Times New Roman" w:eastAsia="Times New Roman" w:hAnsi="Times New Roman" w:cs="Times New Roman"/>
          <w:b/>
          <w:sz w:val="27"/>
          <w:szCs w:val="27"/>
          <w:lang w:eastAsia="ru-RU"/>
        </w:rPr>
        <w:t>Роман ОПІМАХ</w:t>
      </w:r>
    </w:p>
    <w:sectPr w:rsidR="00584E2F" w:rsidRPr="00593DEA" w:rsidSect="00D65ED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3E" w:rsidRDefault="001C253E" w:rsidP="008A52E8">
      <w:pPr>
        <w:spacing w:after="0" w:line="240" w:lineRule="auto"/>
      </w:pPr>
      <w:r>
        <w:separator/>
      </w:r>
    </w:p>
  </w:endnote>
  <w:endnote w:type="continuationSeparator" w:id="0">
    <w:p w:rsidR="001C253E" w:rsidRDefault="001C253E" w:rsidP="008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3E" w:rsidRDefault="001C253E" w:rsidP="008A52E8">
      <w:pPr>
        <w:spacing w:after="0" w:line="240" w:lineRule="auto"/>
      </w:pPr>
      <w:r>
        <w:separator/>
      </w:r>
    </w:p>
  </w:footnote>
  <w:footnote w:type="continuationSeparator" w:id="0">
    <w:p w:rsidR="001C253E" w:rsidRDefault="001C253E" w:rsidP="008A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522954"/>
      <w:docPartObj>
        <w:docPartGallery w:val="Page Numbers (Top of Page)"/>
        <w:docPartUnique/>
      </w:docPartObj>
    </w:sdtPr>
    <w:sdtEndPr>
      <w:rPr>
        <w:rFonts w:ascii="Times New Roman" w:hAnsi="Times New Roman" w:cs="Times New Roman"/>
      </w:rPr>
    </w:sdtEndPr>
    <w:sdtContent>
      <w:p w:rsidR="008A52E8" w:rsidRPr="008A52E8" w:rsidRDefault="00A856C6">
        <w:pPr>
          <w:pStyle w:val="a7"/>
          <w:jc w:val="center"/>
          <w:rPr>
            <w:rFonts w:ascii="Times New Roman" w:hAnsi="Times New Roman" w:cs="Times New Roman"/>
          </w:rPr>
        </w:pPr>
        <w:r w:rsidRPr="008A52E8">
          <w:rPr>
            <w:rFonts w:ascii="Times New Roman" w:hAnsi="Times New Roman" w:cs="Times New Roman"/>
          </w:rPr>
          <w:fldChar w:fldCharType="begin"/>
        </w:r>
        <w:r w:rsidR="008A52E8" w:rsidRPr="008A52E8">
          <w:rPr>
            <w:rFonts w:ascii="Times New Roman" w:hAnsi="Times New Roman" w:cs="Times New Roman"/>
          </w:rPr>
          <w:instrText>PAGE   \* MERGEFORMAT</w:instrText>
        </w:r>
        <w:r w:rsidRPr="008A52E8">
          <w:rPr>
            <w:rFonts w:ascii="Times New Roman" w:hAnsi="Times New Roman" w:cs="Times New Roman"/>
          </w:rPr>
          <w:fldChar w:fldCharType="separate"/>
        </w:r>
        <w:r w:rsidR="00674DC4" w:rsidRPr="00674DC4">
          <w:rPr>
            <w:rFonts w:ascii="Times New Roman" w:hAnsi="Times New Roman" w:cs="Times New Roman"/>
            <w:noProof/>
            <w:lang w:val="ru-RU"/>
          </w:rPr>
          <w:t>5</w:t>
        </w:r>
        <w:r w:rsidRPr="008A52E8">
          <w:rPr>
            <w:rFonts w:ascii="Times New Roman" w:hAnsi="Times New Roman" w:cs="Times New Roman"/>
          </w:rPr>
          <w:fldChar w:fldCharType="end"/>
        </w:r>
      </w:p>
    </w:sdtContent>
  </w:sdt>
  <w:p w:rsidR="008A52E8" w:rsidRDefault="008A52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754"/>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8C5EA6"/>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2F2FE9"/>
    <w:multiLevelType w:val="hybridMultilevel"/>
    <w:tmpl w:val="C20CF05C"/>
    <w:lvl w:ilvl="0" w:tplc="936ADD98">
      <w:start w:val="1"/>
      <w:numFmt w:val="decimal"/>
      <w:lvlText w:val="%1."/>
      <w:lvlJc w:val="left"/>
      <w:pPr>
        <w:ind w:left="1400" w:hanging="360"/>
      </w:pPr>
      <w:rPr>
        <w:rFonts w:ascii="Times New Roman" w:eastAsiaTheme="minorHAnsi" w:hAnsi="Times New Roman" w:cs="Times New Roman"/>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3"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52013133"/>
    <w:multiLevelType w:val="hybridMultilevel"/>
    <w:tmpl w:val="5AD4D03C"/>
    <w:lvl w:ilvl="0" w:tplc="42EE238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B5"/>
    <w:rsid w:val="00003297"/>
    <w:rsid w:val="00050C74"/>
    <w:rsid w:val="0006594A"/>
    <w:rsid w:val="000725FF"/>
    <w:rsid w:val="00073107"/>
    <w:rsid w:val="000B23C2"/>
    <w:rsid w:val="000F6834"/>
    <w:rsid w:val="00107BA4"/>
    <w:rsid w:val="001627B4"/>
    <w:rsid w:val="00173B36"/>
    <w:rsid w:val="00194175"/>
    <w:rsid w:val="001A0622"/>
    <w:rsid w:val="001C253E"/>
    <w:rsid w:val="001C270C"/>
    <w:rsid w:val="001F06CB"/>
    <w:rsid w:val="002711C8"/>
    <w:rsid w:val="002723FF"/>
    <w:rsid w:val="002919EF"/>
    <w:rsid w:val="002C02B5"/>
    <w:rsid w:val="002C208F"/>
    <w:rsid w:val="002C7995"/>
    <w:rsid w:val="002D3C6F"/>
    <w:rsid w:val="002E221A"/>
    <w:rsid w:val="002F19C5"/>
    <w:rsid w:val="00331AAE"/>
    <w:rsid w:val="0035219C"/>
    <w:rsid w:val="003856C3"/>
    <w:rsid w:val="003A2864"/>
    <w:rsid w:val="003E4C66"/>
    <w:rsid w:val="00404D9A"/>
    <w:rsid w:val="004138AA"/>
    <w:rsid w:val="0041431A"/>
    <w:rsid w:val="00444271"/>
    <w:rsid w:val="00480D5A"/>
    <w:rsid w:val="004920E5"/>
    <w:rsid w:val="004A2373"/>
    <w:rsid w:val="004D32AF"/>
    <w:rsid w:val="004E2C22"/>
    <w:rsid w:val="0050078D"/>
    <w:rsid w:val="005778F0"/>
    <w:rsid w:val="00584E2F"/>
    <w:rsid w:val="00593DEA"/>
    <w:rsid w:val="005C1A1A"/>
    <w:rsid w:val="005D2B9D"/>
    <w:rsid w:val="005E37FF"/>
    <w:rsid w:val="005F67ED"/>
    <w:rsid w:val="00626F21"/>
    <w:rsid w:val="006656BC"/>
    <w:rsid w:val="00674DC4"/>
    <w:rsid w:val="00685640"/>
    <w:rsid w:val="00686C50"/>
    <w:rsid w:val="00697420"/>
    <w:rsid w:val="006C1B77"/>
    <w:rsid w:val="006F0E24"/>
    <w:rsid w:val="00710F6A"/>
    <w:rsid w:val="00716A3E"/>
    <w:rsid w:val="007335AA"/>
    <w:rsid w:val="00756D2A"/>
    <w:rsid w:val="00777B5C"/>
    <w:rsid w:val="007A363F"/>
    <w:rsid w:val="007A5292"/>
    <w:rsid w:val="007D117C"/>
    <w:rsid w:val="00816D89"/>
    <w:rsid w:val="00821E08"/>
    <w:rsid w:val="0082244E"/>
    <w:rsid w:val="00832376"/>
    <w:rsid w:val="00836C57"/>
    <w:rsid w:val="00851B94"/>
    <w:rsid w:val="00857DD1"/>
    <w:rsid w:val="0086104E"/>
    <w:rsid w:val="008626C9"/>
    <w:rsid w:val="008846AC"/>
    <w:rsid w:val="008A52E8"/>
    <w:rsid w:val="009047C4"/>
    <w:rsid w:val="009073E7"/>
    <w:rsid w:val="009706CD"/>
    <w:rsid w:val="009838CF"/>
    <w:rsid w:val="00997D7B"/>
    <w:rsid w:val="009B1415"/>
    <w:rsid w:val="009C146C"/>
    <w:rsid w:val="009C3D79"/>
    <w:rsid w:val="009D6786"/>
    <w:rsid w:val="009F4852"/>
    <w:rsid w:val="00A02D96"/>
    <w:rsid w:val="00A06BC6"/>
    <w:rsid w:val="00A77B00"/>
    <w:rsid w:val="00A856C6"/>
    <w:rsid w:val="00A90AA7"/>
    <w:rsid w:val="00A97562"/>
    <w:rsid w:val="00AB18F1"/>
    <w:rsid w:val="00AC377A"/>
    <w:rsid w:val="00AE217F"/>
    <w:rsid w:val="00AF761F"/>
    <w:rsid w:val="00B158EF"/>
    <w:rsid w:val="00B20CCF"/>
    <w:rsid w:val="00B22B08"/>
    <w:rsid w:val="00B47EDD"/>
    <w:rsid w:val="00B574B0"/>
    <w:rsid w:val="00B7099E"/>
    <w:rsid w:val="00B94FFC"/>
    <w:rsid w:val="00BD180F"/>
    <w:rsid w:val="00C17791"/>
    <w:rsid w:val="00C27574"/>
    <w:rsid w:val="00C378A0"/>
    <w:rsid w:val="00C85E14"/>
    <w:rsid w:val="00CB61C3"/>
    <w:rsid w:val="00CD6A1F"/>
    <w:rsid w:val="00D07207"/>
    <w:rsid w:val="00D169BE"/>
    <w:rsid w:val="00D379B8"/>
    <w:rsid w:val="00D37A57"/>
    <w:rsid w:val="00D65EDE"/>
    <w:rsid w:val="00D706CF"/>
    <w:rsid w:val="00D75074"/>
    <w:rsid w:val="00D91B1D"/>
    <w:rsid w:val="00DA18AB"/>
    <w:rsid w:val="00E02E7A"/>
    <w:rsid w:val="00E45AD2"/>
    <w:rsid w:val="00E566A6"/>
    <w:rsid w:val="00E865DC"/>
    <w:rsid w:val="00EB7257"/>
    <w:rsid w:val="00FD0BB1"/>
    <w:rsid w:val="00FE1F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38FE"/>
  <w15:docId w15:val="{3A1F1F05-AE2D-462D-88C9-A3407822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75"/>
    <w:pPr>
      <w:spacing w:line="252"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94175"/>
    <w:rPr>
      <w:color w:val="0563C1" w:themeColor="hyperlink"/>
      <w:u w:val="single"/>
    </w:rPr>
  </w:style>
  <w:style w:type="character" w:customStyle="1" w:styleId="2">
    <w:name w:val="Основной текст (2)_"/>
    <w:link w:val="20"/>
    <w:locked/>
    <w:rsid w:val="00194175"/>
    <w:rPr>
      <w:b/>
      <w:bCs/>
      <w:spacing w:val="6"/>
      <w:shd w:val="clear" w:color="auto" w:fill="FFFFFF"/>
    </w:rPr>
  </w:style>
  <w:style w:type="paragraph" w:customStyle="1" w:styleId="20">
    <w:name w:val="Основной текст (2)"/>
    <w:basedOn w:val="a"/>
    <w:link w:val="2"/>
    <w:rsid w:val="00194175"/>
    <w:pPr>
      <w:widowControl w:val="0"/>
      <w:shd w:val="clear" w:color="auto" w:fill="FFFFFF"/>
      <w:spacing w:after="300" w:line="240" w:lineRule="atLeast"/>
      <w:jc w:val="center"/>
    </w:pPr>
    <w:rPr>
      <w:b/>
      <w:bCs/>
      <w:spacing w:val="6"/>
      <w:shd w:val="clear" w:color="auto" w:fill="FFFFFF"/>
    </w:rPr>
  </w:style>
  <w:style w:type="character" w:customStyle="1" w:styleId="a4">
    <w:name w:val="Основной текст_"/>
    <w:link w:val="3"/>
    <w:locked/>
    <w:rsid w:val="00194175"/>
    <w:rPr>
      <w:spacing w:val="5"/>
      <w:shd w:val="clear" w:color="auto" w:fill="FFFFFF"/>
    </w:rPr>
  </w:style>
  <w:style w:type="paragraph" w:customStyle="1" w:styleId="3">
    <w:name w:val="Основной текст3"/>
    <w:basedOn w:val="a"/>
    <w:link w:val="a4"/>
    <w:rsid w:val="00194175"/>
    <w:pPr>
      <w:widowControl w:val="0"/>
      <w:shd w:val="clear" w:color="auto" w:fill="FFFFFF"/>
      <w:spacing w:before="300" w:after="300" w:line="317" w:lineRule="exact"/>
      <w:jc w:val="both"/>
    </w:pPr>
    <w:rPr>
      <w:spacing w:val="5"/>
      <w:shd w:val="clear" w:color="auto" w:fill="FFFFFF"/>
    </w:rPr>
  </w:style>
  <w:style w:type="character" w:customStyle="1" w:styleId="21">
    <w:name w:val="Заголовок №2_"/>
    <w:link w:val="22"/>
    <w:locked/>
    <w:rsid w:val="00194175"/>
    <w:rPr>
      <w:b/>
      <w:bCs/>
      <w:spacing w:val="6"/>
      <w:shd w:val="clear" w:color="auto" w:fill="FFFFFF"/>
    </w:rPr>
  </w:style>
  <w:style w:type="paragraph" w:customStyle="1" w:styleId="22">
    <w:name w:val="Заголовок №2"/>
    <w:basedOn w:val="a"/>
    <w:link w:val="21"/>
    <w:rsid w:val="00194175"/>
    <w:pPr>
      <w:widowControl w:val="0"/>
      <w:shd w:val="clear" w:color="auto" w:fill="FFFFFF"/>
      <w:spacing w:after="60" w:line="240" w:lineRule="atLeast"/>
      <w:ind w:hanging="3820"/>
      <w:jc w:val="both"/>
      <w:outlineLvl w:val="1"/>
    </w:pPr>
    <w:rPr>
      <w:b/>
      <w:bCs/>
      <w:spacing w:val="6"/>
      <w:shd w:val="clear" w:color="auto" w:fill="FFFFFF"/>
    </w:rPr>
  </w:style>
  <w:style w:type="character" w:customStyle="1" w:styleId="1">
    <w:name w:val="Основной текст1"/>
    <w:rsid w:val="00194175"/>
    <w:rPr>
      <w:rFonts w:ascii="Times New Roman" w:hAnsi="Times New Roman" w:cs="Times New Roman"/>
      <w:color w:val="000000"/>
      <w:spacing w:val="5"/>
      <w:w w:val="100"/>
      <w:position w:val="0"/>
      <w:sz w:val="24"/>
      <w:szCs w:val="24"/>
      <w:u w:val="none"/>
      <w:shd w:val="clear" w:color="auto" w:fill="FFFFFF"/>
      <w:lang w:val="uk-UA" w:eastAsia="uk-UA"/>
    </w:rPr>
  </w:style>
  <w:style w:type="character" w:customStyle="1" w:styleId="a5">
    <w:name w:val="Подпись к таблице_"/>
    <w:link w:val="a6"/>
    <w:locked/>
    <w:rsid w:val="00194175"/>
    <w:rPr>
      <w:spacing w:val="5"/>
      <w:shd w:val="clear" w:color="auto" w:fill="FFFFFF"/>
    </w:rPr>
  </w:style>
  <w:style w:type="paragraph" w:customStyle="1" w:styleId="a6">
    <w:name w:val="Подпись к таблице"/>
    <w:basedOn w:val="a"/>
    <w:link w:val="a5"/>
    <w:rsid w:val="00194175"/>
    <w:pPr>
      <w:widowControl w:val="0"/>
      <w:shd w:val="clear" w:color="auto" w:fill="FFFFFF"/>
      <w:spacing w:after="0" w:line="365" w:lineRule="exact"/>
    </w:pPr>
    <w:rPr>
      <w:spacing w:val="5"/>
      <w:shd w:val="clear" w:color="auto" w:fill="FFFFFF"/>
    </w:rPr>
  </w:style>
  <w:style w:type="paragraph" w:customStyle="1" w:styleId="Textbody">
    <w:name w:val="Text body"/>
    <w:basedOn w:val="a"/>
    <w:uiPriority w:val="99"/>
    <w:rsid w:val="00194175"/>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styleId="a7">
    <w:name w:val="header"/>
    <w:basedOn w:val="a"/>
    <w:link w:val="a8"/>
    <w:uiPriority w:val="99"/>
    <w:unhideWhenUsed/>
    <w:rsid w:val="008A52E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A52E8"/>
  </w:style>
  <w:style w:type="paragraph" w:styleId="a9">
    <w:name w:val="footer"/>
    <w:basedOn w:val="a"/>
    <w:link w:val="aa"/>
    <w:uiPriority w:val="99"/>
    <w:unhideWhenUsed/>
    <w:rsid w:val="008A52E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A52E8"/>
  </w:style>
  <w:style w:type="paragraph" w:styleId="ab">
    <w:name w:val="Balloon Text"/>
    <w:basedOn w:val="a"/>
    <w:link w:val="ac"/>
    <w:uiPriority w:val="99"/>
    <w:semiHidden/>
    <w:unhideWhenUsed/>
    <w:rsid w:val="0041431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1431A"/>
    <w:rPr>
      <w:rFonts w:ascii="Segoe UI" w:hAnsi="Segoe UI" w:cs="Segoe UI"/>
      <w:sz w:val="18"/>
      <w:szCs w:val="18"/>
    </w:rPr>
  </w:style>
  <w:style w:type="paragraph" w:customStyle="1" w:styleId="rvps2">
    <w:name w:val="rvps2"/>
    <w:basedOn w:val="a"/>
    <w:rsid w:val="00A02D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5">
    <w:name w:val="rvts15"/>
    <w:basedOn w:val="a0"/>
    <w:rsid w:val="002711C8"/>
  </w:style>
  <w:style w:type="paragraph" w:styleId="ad">
    <w:name w:val="List Paragraph"/>
    <w:basedOn w:val="a"/>
    <w:uiPriority w:val="34"/>
    <w:qFormat/>
    <w:rsid w:val="009B1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7316">
      <w:bodyDiv w:val="1"/>
      <w:marLeft w:val="0"/>
      <w:marRight w:val="0"/>
      <w:marTop w:val="0"/>
      <w:marBottom w:val="0"/>
      <w:divBdr>
        <w:top w:val="none" w:sz="0" w:space="0" w:color="auto"/>
        <w:left w:val="none" w:sz="0" w:space="0" w:color="auto"/>
        <w:bottom w:val="none" w:sz="0" w:space="0" w:color="auto"/>
        <w:right w:val="none" w:sz="0" w:space="0" w:color="auto"/>
      </w:divBdr>
    </w:div>
    <w:div w:id="533881420">
      <w:bodyDiv w:val="1"/>
      <w:marLeft w:val="0"/>
      <w:marRight w:val="0"/>
      <w:marTop w:val="0"/>
      <w:marBottom w:val="0"/>
      <w:divBdr>
        <w:top w:val="none" w:sz="0" w:space="0" w:color="auto"/>
        <w:left w:val="none" w:sz="0" w:space="0" w:color="auto"/>
        <w:bottom w:val="none" w:sz="0" w:space="0" w:color="auto"/>
        <w:right w:val="none" w:sz="0" w:space="0" w:color="auto"/>
      </w:divBdr>
    </w:div>
    <w:div w:id="190568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2704</Words>
  <Characters>15417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Тетяна Анатоліївна Гаврилюк</cp:lastModifiedBy>
  <cp:revision>2</cp:revision>
  <cp:lastPrinted>2021-02-17T09:25:00Z</cp:lastPrinted>
  <dcterms:created xsi:type="dcterms:W3CDTF">2022-08-01T07:38:00Z</dcterms:created>
  <dcterms:modified xsi:type="dcterms:W3CDTF">2022-08-01T07:38:00Z</dcterms:modified>
</cp:coreProperties>
</file>