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EE880" w14:textId="1F74E186" w:rsidR="007151DE" w:rsidRPr="00D822D7" w:rsidRDefault="007151DE" w:rsidP="004F18E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F74B0">
        <w:rPr>
          <w:rFonts w:ascii="Times New Roman" w:eastAsia="Times New Roman" w:hAnsi="Times New Roman"/>
          <w:b/>
          <w:sz w:val="28"/>
          <w:szCs w:val="28"/>
          <w:lang w:eastAsia="ru-RU"/>
        </w:rPr>
        <w:t>НАЛІЗ РЕГУЛЯТОРНОГО ВПЛИВУ</w:t>
      </w:r>
    </w:p>
    <w:p w14:paraId="394A6CB8" w14:textId="15AD5D84" w:rsidR="00BA7F01" w:rsidRDefault="00DD2CAE" w:rsidP="00C07EBB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t xml:space="preserve">до </w:t>
      </w:r>
      <w:r w:rsidR="00C07EBB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проєкту наказу Міністерства </w:t>
      </w:r>
      <w:bookmarkStart w:id="1" w:name="_Hlk99661318"/>
      <w:r w:rsidR="00C07EBB">
        <w:rPr>
          <w:rFonts w:ascii="Times New Roman" w:hAnsi="Times New Roman"/>
          <w:b/>
          <w:bCs/>
          <w:sz w:val="28"/>
          <w:szCs w:val="28"/>
          <w:lang w:eastAsia="x-none"/>
        </w:rPr>
        <w:t>захисту довкілля та природних ресурсів України</w:t>
      </w:r>
      <w:bookmarkEnd w:id="1"/>
      <w:r w:rsidR="00C07EBB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«Про затвердження Методики визначення розмірів відшкодування збитків, заподіяних державі внаслідок самовільного користування надрами»</w:t>
      </w:r>
    </w:p>
    <w:p w14:paraId="6F86718A" w14:textId="77777777" w:rsidR="00C07EBB" w:rsidRPr="00C07EBB" w:rsidRDefault="00C07EBB" w:rsidP="00C07EBB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77398F81" w14:textId="11B29200" w:rsidR="007151DE" w:rsidRDefault="007151DE" w:rsidP="00C07EBB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C07EBB">
        <w:rPr>
          <w:b/>
          <w:sz w:val="28"/>
          <w:szCs w:val="28"/>
        </w:rPr>
        <w:t>Визначення проблеми</w:t>
      </w:r>
    </w:p>
    <w:p w14:paraId="3B679E8A" w14:textId="77777777" w:rsidR="00C07EBB" w:rsidRDefault="00C07EBB" w:rsidP="001F74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2" w:name="_Hlk99662208"/>
      <w:r w:rsidRPr="003A4D5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Прийняття акта зумовлене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необхідністю суттєвого удосконалення </w:t>
      </w:r>
      <w:r w:rsidRPr="00A80E6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Методик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и</w:t>
      </w:r>
      <w:r w:rsidRPr="00A80E6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визначення розмірів відшкодування збитків, заподіяних державі внаслідок самовільного користування надрами,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що </w:t>
      </w:r>
      <w:r w:rsidRPr="00A80E6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затверджується центральним органом виконавчої влади, що забезпечує формування державної політики у сфері охорони навколишнього природного середовища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</w:p>
    <w:p w14:paraId="1139F505" w14:textId="0966F9EA" w:rsidR="00C07EBB" w:rsidRDefault="00C07EBB" w:rsidP="001F74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Діюча в даний час Методика</w:t>
      </w:r>
      <w:r w:rsidRPr="00353300">
        <w:rPr>
          <w:rFonts w:ascii="Times New Roman" w:hAnsi="Times New Roman"/>
          <w:sz w:val="28"/>
          <w:szCs w:val="28"/>
          <w:lang w:eastAsia="ru-RU"/>
        </w:rPr>
        <w:t xml:space="preserve"> визначення розмірів відшкодування збитків, заподіяних державі внаслідок самовільного користування надрами</w:t>
      </w:r>
      <w:r>
        <w:rPr>
          <w:rFonts w:ascii="Times New Roman" w:hAnsi="Times New Roman"/>
          <w:sz w:val="28"/>
          <w:szCs w:val="28"/>
          <w:lang w:eastAsia="ru-RU"/>
        </w:rPr>
        <w:t>, затверджена наказом</w:t>
      </w:r>
      <w:r w:rsidRPr="00353300">
        <w:rPr>
          <w:rFonts w:ascii="Times New Roman" w:hAnsi="Times New Roman"/>
          <w:sz w:val="28"/>
          <w:szCs w:val="28"/>
          <w:lang w:eastAsia="ru-RU"/>
        </w:rPr>
        <w:t xml:space="preserve"> Міністерства екології та природних ресурсів України від 29.08.2011 № 303, зареєстровани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353300">
        <w:rPr>
          <w:rFonts w:ascii="Times New Roman" w:hAnsi="Times New Roman"/>
          <w:sz w:val="28"/>
          <w:szCs w:val="28"/>
          <w:lang w:eastAsia="ru-RU"/>
        </w:rPr>
        <w:t xml:space="preserve"> в Міністерстві юстиції України </w:t>
      </w:r>
      <w:r w:rsidR="00370B44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212AA3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353300">
        <w:rPr>
          <w:rFonts w:ascii="Times New Roman" w:hAnsi="Times New Roman"/>
          <w:sz w:val="28"/>
          <w:szCs w:val="28"/>
          <w:lang w:eastAsia="ru-RU"/>
        </w:rPr>
        <w:t xml:space="preserve">19 </w:t>
      </w:r>
      <w:r>
        <w:rPr>
          <w:rFonts w:ascii="Times New Roman" w:hAnsi="Times New Roman"/>
          <w:sz w:val="28"/>
          <w:szCs w:val="28"/>
          <w:lang w:eastAsia="ru-RU"/>
        </w:rPr>
        <w:t xml:space="preserve">вересня 2011 р. за № 1097/19835, не містить чіткого механізму визначення виду корисної копалини, що самовільно видобувається; </w:t>
      </w:r>
      <w:r w:rsidRPr="007239C5">
        <w:rPr>
          <w:rFonts w:ascii="Times New Roman" w:hAnsi="Times New Roman"/>
          <w:sz w:val="28"/>
          <w:szCs w:val="28"/>
          <w:lang w:eastAsia="ru-RU"/>
        </w:rPr>
        <w:t>розмеж</w:t>
      </w:r>
      <w:r>
        <w:rPr>
          <w:rFonts w:ascii="Times New Roman" w:hAnsi="Times New Roman"/>
          <w:sz w:val="28"/>
          <w:szCs w:val="28"/>
          <w:lang w:eastAsia="ru-RU"/>
        </w:rPr>
        <w:t>ування</w:t>
      </w:r>
      <w:r w:rsidRPr="007239C5">
        <w:rPr>
          <w:rFonts w:ascii="Times New Roman" w:hAnsi="Times New Roman"/>
          <w:sz w:val="28"/>
          <w:szCs w:val="28"/>
          <w:lang w:eastAsia="ru-RU"/>
        </w:rPr>
        <w:t xml:space="preserve"> повноваження органів влади, які уповноважені законом здійснювати розрахунок збитків, заподіяних державі внаслідок самовільного користуванн</w:t>
      </w:r>
      <w:r>
        <w:rPr>
          <w:rFonts w:ascii="Times New Roman" w:hAnsi="Times New Roman"/>
          <w:sz w:val="28"/>
          <w:szCs w:val="28"/>
          <w:lang w:eastAsia="ru-RU"/>
        </w:rPr>
        <w:t>я надрами (ДЕІ та Держгеонадра),</w:t>
      </w:r>
      <w:r w:rsidRPr="007239C5">
        <w:rPr>
          <w:rFonts w:ascii="Times New Roman" w:hAnsi="Times New Roman"/>
          <w:sz w:val="28"/>
          <w:szCs w:val="28"/>
          <w:lang w:eastAsia="ru-RU"/>
        </w:rPr>
        <w:t xml:space="preserve"> т</w:t>
      </w:r>
      <w:r>
        <w:rPr>
          <w:rFonts w:ascii="Times New Roman" w:hAnsi="Times New Roman"/>
          <w:sz w:val="28"/>
          <w:szCs w:val="28"/>
          <w:lang w:eastAsia="ru-RU"/>
        </w:rPr>
        <w:t xml:space="preserve">а порядок взаємодії між ними; </w:t>
      </w:r>
      <w:r w:rsidRPr="007239C5">
        <w:rPr>
          <w:rFonts w:ascii="Times New Roman" w:hAnsi="Times New Roman"/>
          <w:sz w:val="28"/>
          <w:szCs w:val="28"/>
          <w:lang w:eastAsia="ru-RU"/>
        </w:rPr>
        <w:t>перелік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7239C5">
        <w:rPr>
          <w:rFonts w:ascii="Times New Roman" w:hAnsi="Times New Roman"/>
          <w:sz w:val="28"/>
          <w:szCs w:val="28"/>
          <w:lang w:eastAsia="ru-RU"/>
        </w:rPr>
        <w:t xml:space="preserve"> документів, які можуть містити відомості про об’єм самовільно видобутих корисних копалин</w:t>
      </w:r>
      <w:r>
        <w:rPr>
          <w:rFonts w:ascii="Times New Roman" w:hAnsi="Times New Roman"/>
          <w:sz w:val="28"/>
          <w:szCs w:val="28"/>
          <w:lang w:eastAsia="ru-RU"/>
        </w:rPr>
        <w:t xml:space="preserve">; порядку та формули </w:t>
      </w:r>
      <w:r w:rsidRPr="00F715D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розрахунку розміру збитків,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завданих</w:t>
      </w:r>
      <w:r w:rsidRPr="00F715D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державі внаслідок тимчасової окупації та анексії АР Крим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 також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E64">
        <w:rPr>
          <w:rFonts w:ascii="Times New Roman" w:hAnsi="Times New Roman"/>
          <w:sz w:val="28"/>
          <w:szCs w:val="28"/>
          <w:lang w:eastAsia="ru-RU"/>
        </w:rPr>
        <w:t>завданих Україні внаслідок збройної агресії Російської Федерації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7796EF8" w14:textId="70DFF610" w:rsidR="00C07EBB" w:rsidRDefault="00C07EBB" w:rsidP="001F74B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eastAsia="ar-SA"/>
        </w:rPr>
        <w:t>П</w:t>
      </w:r>
      <w:r w:rsidRPr="00D77568">
        <w:rPr>
          <w:rFonts w:ascii="Times New Roman" w:hAnsi="Times New Roman"/>
          <w:color w:val="000000"/>
          <w:spacing w:val="3"/>
          <w:sz w:val="28"/>
          <w:szCs w:val="28"/>
          <w:lang w:eastAsia="ar-SA"/>
        </w:rPr>
        <w:t>ри визначенні збитків на тимчасово окупованих територіях України необхідно враховувати особливості правового регулювання статусу територій. Так, питання статусу Автономної Республіки Крим регулюється Законом України «</w:t>
      </w:r>
      <w:r w:rsidRPr="00D77568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Про забезпечення прав і свобод громадян та правовий режим на тимчасово окупованій території України», питання статусу тимчасово окупованих територій Донецької і Луганської областей – Законом України «Про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областях» відповідно.</w:t>
      </w:r>
    </w:p>
    <w:p w14:paraId="08A31C1B" w14:textId="0277C605" w:rsidR="00C07EBB" w:rsidRDefault="00C07EBB" w:rsidP="001F74B0">
      <w:pPr>
        <w:pStyle w:val="a3"/>
        <w:ind w:left="0" w:firstLine="709"/>
        <w:jc w:val="both"/>
        <w:rPr>
          <w:bCs/>
          <w:color w:val="000000"/>
          <w:spacing w:val="3"/>
          <w:sz w:val="28"/>
          <w:szCs w:val="28"/>
          <w:lang w:eastAsia="ar-SA"/>
        </w:rPr>
      </w:pPr>
      <w:r w:rsidRPr="00D77568">
        <w:rPr>
          <w:sz w:val="28"/>
          <w:szCs w:val="28"/>
        </w:rPr>
        <w:t>Стаття 1 Закону України «</w:t>
      </w:r>
      <w:r w:rsidRPr="00D77568">
        <w:rPr>
          <w:bCs/>
          <w:color w:val="000000"/>
          <w:spacing w:val="3"/>
          <w:sz w:val="28"/>
          <w:szCs w:val="28"/>
          <w:lang w:eastAsia="ar-SA"/>
        </w:rPr>
        <w:t>Про забезпечення прав і свобод громадян та правовий режим на тимчасово окупованій території України» датою початку тимчасової окупації Автономної Республіки Крим визначає 20 лютого 2014 року. Відповідно, з цієї дати здійснюється захист правового режиму, порушеного внаслідок тимчасової окупації, відповідно до вимог міжнародного та українського законодавства. Це, стосується в тому числі і нарахування збитків, заподіяних самовільним користуванням надр на території Автономної Республіки Крим.</w:t>
      </w:r>
    </w:p>
    <w:p w14:paraId="47F44EDC" w14:textId="751D5D49" w:rsidR="009E0177" w:rsidRPr="009E0177" w:rsidRDefault="009E0177" w:rsidP="009E017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В</w:t>
      </w:r>
      <w:r w:rsidRPr="0085682B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ідповідно до</w:t>
      </w:r>
      <w:r w:rsidRPr="0085682B">
        <w:t xml:space="preserve"> </w:t>
      </w:r>
      <w:r w:rsidRPr="0085682B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Порядку визначення шкоди та збитків, завданих Україні внаслідок збройної агресії Російської Федерації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, затвердженого</w:t>
      </w:r>
      <w:r w:rsidRPr="0085682B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постанов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ою</w:t>
      </w:r>
      <w:r w:rsidRPr="0085682B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Кабінету Міністрів України від 20 березня 2022 р. № 326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, </w:t>
      </w:r>
      <w:r w:rsidRPr="0085682B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в</w:t>
      </w:r>
      <w:r w:rsidRPr="00985F21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изначення шкоди </w:t>
      </w:r>
      <w:r w:rsidRPr="00985F21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lastRenderedPageBreak/>
        <w:t>та збитків здійснюється окремо за напрям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ом </w:t>
      </w:r>
      <w:r w:rsidRPr="003467FA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втрати надр — напрям, що включає втрати надр, заподіяні самовільним їх користуванням, а також екологічну шкоду, завдану навколишньому природному середовищу під час самовільного користування надрами.</w:t>
      </w:r>
    </w:p>
    <w:p w14:paraId="0210BA8B" w14:textId="216926A7" w:rsidR="00C07EBB" w:rsidRPr="0085682B" w:rsidRDefault="00C07EBB" w:rsidP="001F74B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Показником, що оцінюється у даній Методиці є </w:t>
      </w:r>
      <w:r w:rsidRPr="003467FA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обсяг самовільного, в тому числі незаконного, користування надрами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внаслідок </w:t>
      </w:r>
      <w:r w:rsidRPr="001B4B5E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збройної агресії Російської Федерації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.</w:t>
      </w:r>
      <w:r w:rsidR="00CF31BE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</w:t>
      </w:r>
      <w:r w:rsidR="00CF31BE" w:rsidRPr="00275F6F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Визначення розміру відшкодування збитків здійснюється відповідно до методик, затверджених наказами Міндовкілля.</w:t>
      </w:r>
    </w:p>
    <w:p w14:paraId="56D11BC5" w14:textId="77777777" w:rsidR="00C07EBB" w:rsidRDefault="00C07EBB" w:rsidP="001F74B0">
      <w:pPr>
        <w:pStyle w:val="a3"/>
        <w:ind w:left="0" w:firstLine="709"/>
        <w:jc w:val="both"/>
        <w:rPr>
          <w:bCs/>
          <w:color w:val="000000"/>
          <w:spacing w:val="3"/>
          <w:sz w:val="28"/>
          <w:szCs w:val="28"/>
          <w:lang w:eastAsia="ar-SA"/>
        </w:rPr>
      </w:pPr>
      <w:r>
        <w:rPr>
          <w:bCs/>
          <w:color w:val="000000"/>
          <w:spacing w:val="3"/>
          <w:sz w:val="28"/>
          <w:szCs w:val="28"/>
          <w:lang w:eastAsia="ar-SA"/>
        </w:rPr>
        <w:t xml:space="preserve">Відповідно до проєкту Методики для розрахунку розміру збитків, заподіяних самовільним </w:t>
      </w:r>
      <w:r w:rsidRPr="00572F94">
        <w:rPr>
          <w:bCs/>
          <w:color w:val="000000"/>
          <w:spacing w:val="3"/>
          <w:sz w:val="28"/>
          <w:szCs w:val="28"/>
          <w:lang w:eastAsia="ar-SA"/>
        </w:rPr>
        <w:t>державі внаслідок самовільного видобування корисних копалин на тимчасово окупованій території</w:t>
      </w:r>
      <w:r>
        <w:rPr>
          <w:bCs/>
          <w:color w:val="000000"/>
          <w:spacing w:val="3"/>
          <w:sz w:val="28"/>
          <w:szCs w:val="28"/>
          <w:lang w:eastAsia="ar-SA"/>
        </w:rPr>
        <w:t xml:space="preserve"> АР Крим, розраховується о</w:t>
      </w:r>
      <w:r w:rsidRPr="00572F94">
        <w:rPr>
          <w:bCs/>
          <w:color w:val="000000"/>
          <w:spacing w:val="3"/>
          <w:sz w:val="28"/>
          <w:szCs w:val="28"/>
          <w:lang w:eastAsia="ar-SA"/>
        </w:rPr>
        <w:t xml:space="preserve">б’єм (кількість) самовільно видобутих запасів корисних копалин родовищ (ділянок надр) </w:t>
      </w:r>
      <w:r>
        <w:rPr>
          <w:bCs/>
          <w:color w:val="000000"/>
          <w:spacing w:val="3"/>
          <w:sz w:val="28"/>
          <w:szCs w:val="28"/>
          <w:lang w:eastAsia="ar-SA"/>
        </w:rPr>
        <w:t xml:space="preserve"> виходячи з </w:t>
      </w:r>
      <w:r w:rsidRPr="00572F94">
        <w:rPr>
          <w:bCs/>
          <w:color w:val="000000"/>
          <w:spacing w:val="3"/>
          <w:sz w:val="28"/>
          <w:szCs w:val="28"/>
          <w:lang w:eastAsia="ar-SA"/>
        </w:rPr>
        <w:t>річн</w:t>
      </w:r>
      <w:r>
        <w:rPr>
          <w:bCs/>
          <w:color w:val="000000"/>
          <w:spacing w:val="3"/>
          <w:sz w:val="28"/>
          <w:szCs w:val="28"/>
          <w:lang w:eastAsia="ar-SA"/>
        </w:rPr>
        <w:t>ої</w:t>
      </w:r>
      <w:r w:rsidRPr="00572F94">
        <w:rPr>
          <w:bCs/>
          <w:color w:val="000000"/>
          <w:spacing w:val="3"/>
          <w:sz w:val="28"/>
          <w:szCs w:val="28"/>
          <w:lang w:eastAsia="ar-SA"/>
        </w:rPr>
        <w:t xml:space="preserve"> продуктивн</w:t>
      </w:r>
      <w:r>
        <w:rPr>
          <w:bCs/>
          <w:color w:val="000000"/>
          <w:spacing w:val="3"/>
          <w:sz w:val="28"/>
          <w:szCs w:val="28"/>
          <w:lang w:eastAsia="ar-SA"/>
        </w:rPr>
        <w:t>ості</w:t>
      </w:r>
      <w:r w:rsidRPr="00572F94">
        <w:rPr>
          <w:bCs/>
          <w:color w:val="000000"/>
          <w:spacing w:val="3"/>
          <w:sz w:val="28"/>
          <w:szCs w:val="28"/>
          <w:lang w:eastAsia="ar-SA"/>
        </w:rPr>
        <w:t xml:space="preserve">  видобутку корисної копалини, визначен</w:t>
      </w:r>
      <w:r>
        <w:rPr>
          <w:bCs/>
          <w:color w:val="000000"/>
          <w:spacing w:val="3"/>
          <w:sz w:val="28"/>
          <w:szCs w:val="28"/>
          <w:lang w:eastAsia="ar-SA"/>
        </w:rPr>
        <w:t>ої</w:t>
      </w:r>
      <w:r w:rsidRPr="00572F94">
        <w:rPr>
          <w:bCs/>
          <w:color w:val="000000"/>
          <w:spacing w:val="3"/>
          <w:sz w:val="28"/>
          <w:szCs w:val="28"/>
          <w:lang w:eastAsia="ar-SA"/>
        </w:rPr>
        <w:t xml:space="preserve"> протоколом ДКЗ України (ДКЗ СРСР, УТКЗ)</w:t>
      </w:r>
      <w:r>
        <w:rPr>
          <w:bCs/>
          <w:color w:val="000000"/>
          <w:spacing w:val="3"/>
          <w:sz w:val="28"/>
          <w:szCs w:val="28"/>
          <w:lang w:eastAsia="ar-SA"/>
        </w:rPr>
        <w:t xml:space="preserve"> (копії документів зберігаються в ДНВП «Геоінформ України») та періоду тимчасової окупації.</w:t>
      </w:r>
    </w:p>
    <w:p w14:paraId="2F233407" w14:textId="77777777" w:rsidR="00C07EBB" w:rsidRDefault="00C07EBB" w:rsidP="001F74B0">
      <w:pPr>
        <w:pStyle w:val="a3"/>
        <w:ind w:left="0" w:firstLine="709"/>
        <w:jc w:val="both"/>
        <w:rPr>
          <w:bCs/>
          <w:color w:val="000000"/>
          <w:spacing w:val="3"/>
          <w:sz w:val="28"/>
          <w:szCs w:val="28"/>
          <w:lang w:eastAsia="ar-SA"/>
        </w:rPr>
      </w:pPr>
      <w:r>
        <w:rPr>
          <w:bCs/>
          <w:color w:val="000000"/>
          <w:spacing w:val="3"/>
          <w:sz w:val="28"/>
          <w:szCs w:val="28"/>
          <w:lang w:eastAsia="ar-SA"/>
        </w:rPr>
        <w:t xml:space="preserve">Таким чином забезпечується можливість здійснення розрахунку розміру збитків, заподіяних самовільним </w:t>
      </w:r>
      <w:r w:rsidRPr="00572F94">
        <w:rPr>
          <w:bCs/>
          <w:color w:val="000000"/>
          <w:spacing w:val="3"/>
          <w:sz w:val="28"/>
          <w:szCs w:val="28"/>
          <w:lang w:eastAsia="ar-SA"/>
        </w:rPr>
        <w:t>державі внаслідок самовільного видобування корисних копалин на тимчасово окупованій території</w:t>
      </w:r>
      <w:r>
        <w:rPr>
          <w:bCs/>
          <w:color w:val="000000"/>
          <w:spacing w:val="3"/>
          <w:sz w:val="28"/>
          <w:szCs w:val="28"/>
          <w:lang w:eastAsia="ar-SA"/>
        </w:rPr>
        <w:t xml:space="preserve"> АР Крим без доступу до вказаних територій.</w:t>
      </w:r>
    </w:p>
    <w:p w14:paraId="748FCAC1" w14:textId="77777777" w:rsidR="00C07EBB" w:rsidRDefault="00C07EBB" w:rsidP="001F74B0">
      <w:pPr>
        <w:pStyle w:val="a3"/>
        <w:ind w:left="0" w:firstLine="709"/>
        <w:jc w:val="both"/>
        <w:rPr>
          <w:bCs/>
          <w:color w:val="000000"/>
          <w:spacing w:val="3"/>
          <w:sz w:val="28"/>
          <w:szCs w:val="28"/>
          <w:lang w:eastAsia="ar-SA"/>
        </w:rPr>
      </w:pPr>
      <w:r>
        <w:rPr>
          <w:bCs/>
          <w:color w:val="000000"/>
          <w:spacing w:val="3"/>
          <w:sz w:val="28"/>
          <w:szCs w:val="28"/>
          <w:lang w:eastAsia="ar-SA"/>
        </w:rPr>
        <w:t xml:space="preserve">Також, у разі </w:t>
      </w:r>
      <w:r w:rsidRPr="00F52DD3">
        <w:rPr>
          <w:bCs/>
          <w:color w:val="000000"/>
          <w:spacing w:val="3"/>
          <w:sz w:val="28"/>
          <w:szCs w:val="28"/>
          <w:lang w:eastAsia="ar-SA"/>
        </w:rPr>
        <w:t xml:space="preserve">виявлення посадовими особами правоохоронних органів в рамках проведення розслідувань правоохоронними органами в зв'язку з тимчасовою окупацією території України факту самовільного користування надрами, виду корисної копалини, періоду та </w:t>
      </w:r>
      <w:r>
        <w:rPr>
          <w:bCs/>
          <w:color w:val="000000"/>
          <w:spacing w:val="3"/>
          <w:sz w:val="28"/>
          <w:szCs w:val="28"/>
          <w:lang w:eastAsia="ar-SA"/>
        </w:rPr>
        <w:t xml:space="preserve">фактичного </w:t>
      </w:r>
      <w:r w:rsidRPr="00F52DD3">
        <w:rPr>
          <w:bCs/>
          <w:color w:val="000000"/>
          <w:spacing w:val="3"/>
          <w:sz w:val="28"/>
          <w:szCs w:val="28"/>
          <w:lang w:eastAsia="ar-SA"/>
        </w:rPr>
        <w:t>об’єму самовільного користування надрами за відсутності виданого в установленому порядку спеціального дозволу на користування надрами</w:t>
      </w:r>
      <w:r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r w:rsidRPr="003120D3">
        <w:rPr>
          <w:bCs/>
          <w:color w:val="000000"/>
          <w:spacing w:val="3"/>
          <w:sz w:val="28"/>
          <w:szCs w:val="28"/>
          <w:lang w:eastAsia="ar-SA"/>
        </w:rPr>
        <w:t>розмір збитків, заподіяних державі внаслідок самовільного видобування корисних копалин на тимчасово окупованій території, здійснюється із застосуванням формули</w:t>
      </w:r>
      <w:r>
        <w:rPr>
          <w:bCs/>
          <w:color w:val="000000"/>
          <w:spacing w:val="3"/>
          <w:sz w:val="28"/>
          <w:szCs w:val="28"/>
          <w:lang w:eastAsia="ar-SA"/>
        </w:rPr>
        <w:t xml:space="preserve"> для підконтрольної території.</w:t>
      </w:r>
    </w:p>
    <w:p w14:paraId="4B6242A0" w14:textId="371AC395" w:rsidR="00C07EBB" w:rsidRDefault="00C07EBB" w:rsidP="001F74B0">
      <w:pPr>
        <w:pStyle w:val="a3"/>
        <w:ind w:left="0" w:firstLine="709"/>
        <w:jc w:val="both"/>
        <w:rPr>
          <w:bCs/>
          <w:color w:val="000000"/>
          <w:spacing w:val="3"/>
          <w:sz w:val="28"/>
          <w:szCs w:val="28"/>
          <w:lang w:eastAsia="ar-SA"/>
        </w:rPr>
      </w:pPr>
      <w:r>
        <w:rPr>
          <w:bCs/>
          <w:color w:val="000000"/>
          <w:spacing w:val="3"/>
          <w:sz w:val="28"/>
          <w:szCs w:val="28"/>
          <w:lang w:eastAsia="ar-SA"/>
        </w:rPr>
        <w:t xml:space="preserve">Водночас, оскільки </w:t>
      </w:r>
      <w:r w:rsidRPr="00D77568">
        <w:rPr>
          <w:bCs/>
          <w:color w:val="000000"/>
          <w:spacing w:val="3"/>
          <w:sz w:val="28"/>
          <w:szCs w:val="28"/>
          <w:lang w:eastAsia="ar-SA"/>
        </w:rPr>
        <w:t>Законом України «Про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областях» не встановлено дати початку тимчасової окупації, яку можна взяти у якості початку порушення правового режиму</w:t>
      </w:r>
      <w:r>
        <w:rPr>
          <w:bCs/>
          <w:color w:val="000000"/>
          <w:spacing w:val="3"/>
          <w:sz w:val="28"/>
          <w:szCs w:val="28"/>
          <w:lang w:eastAsia="ar-SA"/>
        </w:rPr>
        <w:t>,</w:t>
      </w:r>
      <w:r w:rsidRPr="00D77568"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r>
        <w:rPr>
          <w:bCs/>
          <w:color w:val="000000"/>
          <w:spacing w:val="3"/>
          <w:sz w:val="28"/>
          <w:szCs w:val="28"/>
          <w:lang w:eastAsia="ar-SA"/>
        </w:rPr>
        <w:t>це</w:t>
      </w:r>
      <w:r w:rsidRPr="00D77568"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r>
        <w:rPr>
          <w:bCs/>
          <w:color w:val="000000"/>
          <w:spacing w:val="3"/>
          <w:sz w:val="28"/>
          <w:szCs w:val="28"/>
          <w:lang w:eastAsia="ar-SA"/>
        </w:rPr>
        <w:t xml:space="preserve">унеможливлює </w:t>
      </w:r>
      <w:r w:rsidRPr="00D77568">
        <w:rPr>
          <w:bCs/>
          <w:color w:val="000000"/>
          <w:spacing w:val="3"/>
          <w:sz w:val="28"/>
          <w:szCs w:val="28"/>
          <w:lang w:eastAsia="ar-SA"/>
        </w:rPr>
        <w:t>до завершення тимчасової окупації Донецької і Луганської областей здійснення розрахунку розміру збитків, заподіяних внаслідок самовільного користування надрами, внаслідок неможливості встановлення обсягу самовільно видобутих корисних копалин</w:t>
      </w:r>
      <w:r>
        <w:rPr>
          <w:bCs/>
          <w:color w:val="000000"/>
          <w:spacing w:val="3"/>
          <w:sz w:val="28"/>
          <w:szCs w:val="28"/>
          <w:lang w:eastAsia="ar-SA"/>
        </w:rPr>
        <w:t xml:space="preserve"> на вказаних територіях</w:t>
      </w:r>
      <w:r w:rsidRPr="00D77568">
        <w:rPr>
          <w:bCs/>
          <w:color w:val="000000"/>
          <w:spacing w:val="3"/>
          <w:sz w:val="28"/>
          <w:szCs w:val="28"/>
          <w:lang w:eastAsia="ar-SA"/>
        </w:rPr>
        <w:t>.</w:t>
      </w:r>
    </w:p>
    <w:p w14:paraId="18CE0A5E" w14:textId="59C1691A" w:rsidR="003C77BB" w:rsidRDefault="003C77BB" w:rsidP="001F74B0">
      <w:pPr>
        <w:pStyle w:val="a3"/>
        <w:ind w:left="0" w:firstLine="709"/>
        <w:jc w:val="both"/>
        <w:rPr>
          <w:bCs/>
          <w:color w:val="000000"/>
          <w:spacing w:val="3"/>
          <w:sz w:val="28"/>
          <w:szCs w:val="28"/>
          <w:lang w:eastAsia="ar-SA"/>
        </w:rPr>
      </w:pPr>
      <w:r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r w:rsidRPr="00275F6F">
        <w:rPr>
          <w:bCs/>
          <w:color w:val="000000"/>
          <w:spacing w:val="3"/>
          <w:sz w:val="28"/>
          <w:szCs w:val="28"/>
          <w:lang w:eastAsia="ar-SA"/>
        </w:rPr>
        <w:t>З урахуванням цього, пропонується розраховувати розмір збитків, заподіяних збройною агресією Російської Федерації починаючи з дати втрати контролю над територією за даними Міністерства оборони України (Генерального штабу ЗСУ) по дату звільнення за даними Міністерства оборони України (Генерального штабу ЗСУ)</w:t>
      </w:r>
      <w:r w:rsidR="00F33000" w:rsidRPr="00275F6F">
        <w:rPr>
          <w:bCs/>
          <w:color w:val="000000"/>
          <w:spacing w:val="3"/>
          <w:sz w:val="28"/>
          <w:szCs w:val="28"/>
          <w:lang w:eastAsia="ar-SA"/>
        </w:rPr>
        <w:t xml:space="preserve"> виходячи з річної продуктивності  видобутку корисної копалини</w:t>
      </w:r>
      <w:r w:rsidR="006B0C2B" w:rsidRPr="00275F6F">
        <w:rPr>
          <w:bCs/>
          <w:color w:val="000000"/>
          <w:spacing w:val="3"/>
          <w:sz w:val="28"/>
          <w:szCs w:val="28"/>
          <w:lang w:eastAsia="ar-SA"/>
        </w:rPr>
        <w:t xml:space="preserve"> (розділ </w:t>
      </w:r>
      <w:r w:rsidR="006B0C2B" w:rsidRPr="00275F6F">
        <w:rPr>
          <w:bCs/>
          <w:color w:val="000000"/>
          <w:spacing w:val="3"/>
          <w:sz w:val="28"/>
          <w:szCs w:val="28"/>
          <w:lang w:val="en-US" w:eastAsia="ar-SA"/>
        </w:rPr>
        <w:t>V</w:t>
      </w:r>
      <w:r w:rsidR="006B0C2B" w:rsidRPr="00275F6F">
        <w:rPr>
          <w:bCs/>
          <w:color w:val="000000"/>
          <w:spacing w:val="3"/>
          <w:sz w:val="28"/>
          <w:szCs w:val="28"/>
          <w:lang w:eastAsia="ar-SA"/>
        </w:rPr>
        <w:t xml:space="preserve"> проєкту Методики)</w:t>
      </w:r>
      <w:r w:rsidRPr="00275F6F">
        <w:rPr>
          <w:bCs/>
          <w:color w:val="000000"/>
          <w:spacing w:val="3"/>
          <w:sz w:val="28"/>
          <w:szCs w:val="28"/>
          <w:lang w:eastAsia="ar-SA"/>
        </w:rPr>
        <w:t>.</w:t>
      </w:r>
    </w:p>
    <w:p w14:paraId="6A5F3065" w14:textId="77777777" w:rsidR="00C07EBB" w:rsidRDefault="00C07EBB" w:rsidP="001F74B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В даний час державі у зв’язку з самовільним користування надрами заподіюються збитки у частині:</w:t>
      </w:r>
    </w:p>
    <w:p w14:paraId="60D09571" w14:textId="77777777" w:rsidR="00C07EBB" w:rsidRDefault="00C07EBB" w:rsidP="001F74B0">
      <w:pPr>
        <w:pStyle w:val="a3"/>
        <w:numPr>
          <w:ilvl w:val="0"/>
          <w:numId w:val="5"/>
        </w:numPr>
        <w:shd w:val="clear" w:color="auto" w:fill="FFFFFF"/>
        <w:ind w:left="0" w:firstLine="851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втрати вартості корисної копалини;</w:t>
      </w:r>
    </w:p>
    <w:p w14:paraId="3D01E877" w14:textId="77777777" w:rsidR="00C07EBB" w:rsidRDefault="00C07EBB" w:rsidP="001F74B0">
      <w:pPr>
        <w:pStyle w:val="a3"/>
        <w:numPr>
          <w:ilvl w:val="0"/>
          <w:numId w:val="5"/>
        </w:numPr>
        <w:shd w:val="clear" w:color="auto" w:fill="FFFFFF"/>
        <w:ind w:left="0" w:firstLine="851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неотримання (недоотримання) коштів рентної плати за користування надрами та інших обов’язкових платежів до державного та місцевих бюджетів;</w:t>
      </w:r>
    </w:p>
    <w:p w14:paraId="0D4003F6" w14:textId="77777777" w:rsidR="00C07EBB" w:rsidRDefault="00C07EBB" w:rsidP="001F74B0">
      <w:pPr>
        <w:pStyle w:val="a3"/>
        <w:numPr>
          <w:ilvl w:val="0"/>
          <w:numId w:val="5"/>
        </w:numPr>
        <w:shd w:val="clear" w:color="auto" w:fill="FFFFFF"/>
        <w:ind w:left="0" w:firstLine="851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витрат держави на рекультивацію ділянки надр, </w:t>
      </w:r>
      <w:r w:rsidRPr="0096583D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порушених внаслідок незаконного видобування</w:t>
      </w: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корисних копалин;</w:t>
      </w:r>
    </w:p>
    <w:p w14:paraId="6BE4A8F7" w14:textId="77777777" w:rsidR="00C07EBB" w:rsidRPr="0096583D" w:rsidRDefault="00C07EBB" w:rsidP="001F74B0">
      <w:pPr>
        <w:pStyle w:val="a3"/>
        <w:numPr>
          <w:ilvl w:val="0"/>
          <w:numId w:val="5"/>
        </w:numPr>
        <w:shd w:val="clear" w:color="auto" w:fill="FFFFFF"/>
        <w:ind w:left="0" w:firstLine="851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вартості адміністрування </w:t>
      </w:r>
      <w:r w:rsidRPr="0096583D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встановлення факту самовільного користування надрами, розрахунку розміру збитків та притягнення осіб до відповідальності</w:t>
      </w: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3E32F933" w14:textId="53E3AA4C" w:rsidR="00C07EBB" w:rsidRDefault="00C07EBB" w:rsidP="001F74B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Нижче наведені орієнтовні усереднені показники витрат та неотримання (недоотримання) держави внаслідок самовільного користування надрами.</w:t>
      </w:r>
    </w:p>
    <w:p w14:paraId="60090956" w14:textId="77777777" w:rsidR="001F74B0" w:rsidRDefault="001F74B0" w:rsidP="00C07EB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289851C4" w14:textId="77777777" w:rsidR="00032BCE" w:rsidRPr="00032BCE" w:rsidRDefault="00032BCE" w:rsidP="00032BCE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032BC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Орієнтовні вартість корисної копалини та показник неотримання коштів рентної плати за користування надрами та інших обов’язкових платежів до державного та місцевих бюджетів в залежності від корисної копалини (середні показники)</w:t>
      </w:r>
    </w:p>
    <w:tbl>
      <w:tblPr>
        <w:tblW w:w="515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1"/>
        <w:gridCol w:w="1348"/>
        <w:gridCol w:w="1007"/>
        <w:gridCol w:w="849"/>
        <w:gridCol w:w="851"/>
        <w:gridCol w:w="922"/>
        <w:gridCol w:w="953"/>
        <w:gridCol w:w="1385"/>
        <w:gridCol w:w="992"/>
      </w:tblGrid>
      <w:tr w:rsidR="00032BCE" w:rsidRPr="00032BCE" w14:paraId="1F5C159D" w14:textId="77777777" w:rsidTr="001A70A3">
        <w:tc>
          <w:tcPr>
            <w:tcW w:w="6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858FDC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Вид корисних копалин</w:t>
            </w:r>
          </w:p>
        </w:tc>
        <w:tc>
          <w:tcPr>
            <w:tcW w:w="307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ECEBF2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Неотримання коштів державного бюджету</w:t>
            </w:r>
          </w:p>
        </w:tc>
        <w:tc>
          <w:tcPr>
            <w:tcW w:w="12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249B07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Неотримання коштів місцевого бюджету</w:t>
            </w:r>
          </w:p>
        </w:tc>
      </w:tr>
      <w:tr w:rsidR="00032BCE" w:rsidRPr="00032BCE" w14:paraId="0081EC08" w14:textId="77777777" w:rsidTr="001A70A3">
        <w:trPr>
          <w:trHeight w:val="426"/>
        </w:trPr>
        <w:tc>
          <w:tcPr>
            <w:tcW w:w="68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2AB5F91C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22226F2E" w14:textId="77777777" w:rsidR="00032BCE" w:rsidRPr="00032BCE" w:rsidRDefault="00032BCE" w:rsidP="00032BCE">
            <w:pPr>
              <w:spacing w:after="0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10008B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ціна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66F19D40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ставка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5E2A8866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бюджетна частка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20BF9D54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питома плата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7203650C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бюджетна частка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07486CC8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питома плата</w:t>
            </w:r>
          </w:p>
        </w:tc>
      </w:tr>
      <w:tr w:rsidR="00032BCE" w:rsidRPr="00032BCE" w14:paraId="073DC226" w14:textId="77777777" w:rsidTr="001A70A3">
        <w:trPr>
          <w:trHeight w:val="429"/>
        </w:trPr>
        <w:tc>
          <w:tcPr>
            <w:tcW w:w="6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48AB4D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E06BE2" w14:textId="77777777" w:rsidR="00032BCE" w:rsidRPr="00032BCE" w:rsidRDefault="00032BCE" w:rsidP="00032BCE">
            <w:pPr>
              <w:spacing w:after="0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97AA4F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USD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6D7BC0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UAH/Mt</w:t>
            </w:r>
          </w:p>
        </w:tc>
        <w:tc>
          <w:tcPr>
            <w:tcW w:w="44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317A0B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47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23FD97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49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C484F6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UAH/Mt</w:t>
            </w:r>
          </w:p>
        </w:tc>
        <w:tc>
          <w:tcPr>
            <w:tcW w:w="71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2DBBFD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51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91C4F5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UAH/Mt</w:t>
            </w:r>
          </w:p>
        </w:tc>
      </w:tr>
      <w:tr w:rsidR="00032BCE" w:rsidRPr="00032BCE" w14:paraId="3BDC6B15" w14:textId="77777777" w:rsidTr="001A70A3">
        <w:trPr>
          <w:trHeight w:val="425"/>
        </w:trPr>
        <w:tc>
          <w:tcPr>
            <w:tcW w:w="686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4DE8CB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Вуглеводні</w:t>
            </w:r>
          </w:p>
        </w:tc>
        <w:tc>
          <w:tcPr>
            <w:tcW w:w="70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E8AE68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нафта</w:t>
            </w: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 w:type="textWrapping" w:clear="all"/>
              <w:t>(Urals)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778C85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44.55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56A1C2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=44,55*27,48*7,28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8 912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886857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47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17BBC8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95</w:t>
            </w:r>
          </w:p>
        </w:tc>
        <w:tc>
          <w:tcPr>
            <w:tcW w:w="49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8BA9E4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=44,55*27,48*7,28*,31*,95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2 625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71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017F8C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1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86F11C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=44,55*27,48*7,28*,31*,05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138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</w:tr>
      <w:tr w:rsidR="00032BCE" w:rsidRPr="00032BCE" w14:paraId="702FC560" w14:textId="77777777" w:rsidTr="001A70A3">
        <w:trPr>
          <w:trHeight w:val="425"/>
        </w:trPr>
        <w:tc>
          <w:tcPr>
            <w:tcW w:w="6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04C90B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A15840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газ</w:t>
            </w: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 w:type="textWrapping" w:clear="all"/>
              <w:t>(митна)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C3845D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140,62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B9B9F4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=3673,49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3 673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1F9B23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47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8F4ADB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95</w:t>
            </w:r>
          </w:p>
        </w:tc>
        <w:tc>
          <w:tcPr>
            <w:tcW w:w="49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3795CB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=3673,49*,29*,95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1 012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71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7A453D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1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BF33B8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=3673,49*,29*,05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53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</w:tr>
      <w:tr w:rsidR="00032BCE" w:rsidRPr="00032BCE" w14:paraId="56A029BE" w14:textId="77777777" w:rsidTr="001A70A3">
        <w:trPr>
          <w:trHeight w:val="379"/>
        </w:trPr>
        <w:tc>
          <w:tcPr>
            <w:tcW w:w="686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B3E22B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Руди заліза</w:t>
            </w:r>
          </w:p>
        </w:tc>
        <w:tc>
          <w:tcPr>
            <w:tcW w:w="700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56F873D8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концентрат «сирий»</w:t>
            </w: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148118C9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instrText xml:space="preserve"> =2100/27,48 \# "0,00" </w:instrTex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76,42</w: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37A09F67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=2100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2 100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0FF7BA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79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079F7516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495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0B5B90A8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=2100*0,0245*,7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36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719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52C93155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15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0B765B7B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=2100*0,0245*,3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15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</w:tr>
      <w:tr w:rsidR="00032BCE" w:rsidRPr="00032BCE" w14:paraId="4492B433" w14:textId="77777777" w:rsidTr="001A70A3">
        <w:trPr>
          <w:trHeight w:val="378"/>
        </w:trPr>
        <w:tc>
          <w:tcPr>
            <w:tcW w:w="6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6E305E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277E3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FE3553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4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50A6B7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4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189419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2,45</w: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uk-UA"/>
              </w:rPr>
              <w:t>*</w:t>
            </w:r>
          </w:p>
        </w:tc>
        <w:tc>
          <w:tcPr>
            <w:tcW w:w="47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F63FD9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FC4D97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1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394098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1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6FDD8A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032BCE" w:rsidRPr="00032BCE" w14:paraId="1F09D99C" w14:textId="77777777" w:rsidTr="001A70A3">
        <w:trPr>
          <w:trHeight w:val="425"/>
        </w:trPr>
        <w:tc>
          <w:tcPr>
            <w:tcW w:w="6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17E3CA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Руди титану</w:t>
            </w:r>
          </w:p>
        </w:tc>
        <w:tc>
          <w:tcPr>
            <w:tcW w:w="70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8A9F5C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концентрати</w:t>
            </w: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 w:type="textWrapping" w:clear="all"/>
              <w:t>(митна)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108A9A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247,57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A20B4A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=247,57*27,48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6 803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97EB73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6,25</w:t>
            </w:r>
          </w:p>
        </w:tc>
        <w:tc>
          <w:tcPr>
            <w:tcW w:w="47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308541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49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74C65D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=247,57*27,48*,0625*,7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298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71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EA96A8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1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A27FB4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=247,57*27,48*,0625*,3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128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</w:tr>
      <w:tr w:rsidR="00032BCE" w:rsidRPr="00032BCE" w14:paraId="6260A7F0" w14:textId="77777777" w:rsidTr="001A70A3">
        <w:trPr>
          <w:trHeight w:val="425"/>
        </w:trPr>
        <w:tc>
          <w:tcPr>
            <w:tcW w:w="6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EDF882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Каоліни</w:t>
            </w:r>
          </w:p>
        </w:tc>
        <w:tc>
          <w:tcPr>
            <w:tcW w:w="70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636DF7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сортовий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7E754D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instrText xml:space="preserve"> =7500/27,48 \# "# ##0" </w:instrTex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273</w: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66B2EA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=7500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7 500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EA675E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7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8C4903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49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D9A3A0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=7500*,05*,7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263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71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66F90E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1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6D764F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=7500*,05*,3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113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</w:tr>
      <w:tr w:rsidR="00032BCE" w:rsidRPr="00032BCE" w14:paraId="7C70A2F4" w14:textId="77777777" w:rsidTr="001A70A3">
        <w:trPr>
          <w:trHeight w:val="425"/>
        </w:trPr>
        <w:tc>
          <w:tcPr>
            <w:tcW w:w="6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1789F7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Глини</w:t>
            </w:r>
          </w:p>
        </w:tc>
        <w:tc>
          <w:tcPr>
            <w:tcW w:w="700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149228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керамічні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338090A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instrText xml:space="preserve"> =250/27,48 \# "# ##0" </w:instrTex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  9</w: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7BF6587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=250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250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2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4A6BBEC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79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B8408FA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495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3593A29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=250*,05*,7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 9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719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118FA7C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15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64E1462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=250*,05*,3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 4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</w:tr>
      <w:tr w:rsidR="00032BCE" w:rsidRPr="00032BCE" w14:paraId="01A49481" w14:textId="77777777" w:rsidTr="001A70A3">
        <w:trPr>
          <w:trHeight w:val="4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8630E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lastRenderedPageBreak/>
              <w:t>Камінь будівельний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CBFAB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щебінь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1C3B6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instrText xml:space="preserve"> =275/27,48 \# "# ##0" </w:instrTex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 10</w: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DE69F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=275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275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542DE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32813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52A2F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=275*,05*,7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10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01946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68837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=275*,05*,3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 4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</w:tr>
      <w:tr w:rsidR="00032BCE" w:rsidRPr="00032BCE" w14:paraId="73EF734E" w14:textId="77777777" w:rsidTr="001A70A3">
        <w:trPr>
          <w:trHeight w:val="425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1C945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Вода (куб. метри)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31C94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мінеральна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C4E2B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instrText xml:space="preserve"> =750/27,48 \# "# ##0" </w:instrTex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 27</w: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F952C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=750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750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A92C0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C9A74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E31A6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=750*,05*,7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26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3A185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83AAA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=750*,05*,30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11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</w:tr>
      <w:tr w:rsidR="00032BCE" w:rsidRPr="00032BCE" w14:paraId="77309761" w14:textId="77777777" w:rsidTr="001A70A3">
        <w:trPr>
          <w:trHeight w:val="425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77896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9F912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питна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4F490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72E07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=8,5 \# "# ##0,0"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uk-UA"/>
              </w:rPr>
              <w:t xml:space="preserve">   8,5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D83BB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377D3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899CA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=8,5*,05*,7 \# "# ##0,0"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uk-UA"/>
              </w:rPr>
              <w:t xml:space="preserve">   0,3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0C6CF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7A061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=8,5*,05*,3 \# "# ##0,0"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uk-UA"/>
              </w:rPr>
              <w:t xml:space="preserve">   0,1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</w:tr>
    </w:tbl>
    <w:p w14:paraId="1E2C650B" w14:textId="77777777" w:rsidR="00032BCE" w:rsidRPr="00032BCE" w:rsidRDefault="00032BCE" w:rsidP="00032B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  <w:bdr w:val="none" w:sz="0" w:space="0" w:color="auto" w:frame="1"/>
          <w:lang w:eastAsia="uk-UA"/>
        </w:rPr>
      </w:pPr>
      <w:r w:rsidRPr="00032BCE">
        <w:rPr>
          <w:rFonts w:ascii="Times New Roman" w:eastAsia="Times New Roman" w:hAnsi="Times New Roman"/>
          <w:i/>
          <w:sz w:val="24"/>
          <w:szCs w:val="24"/>
          <w:vertAlign w:val="superscript"/>
        </w:rPr>
        <w:t>*</w:t>
      </w:r>
      <w:r w:rsidRPr="00032BCE">
        <w:rPr>
          <w:rFonts w:ascii="Times New Roman" w:eastAsia="Times New Roman" w:hAnsi="Times New Roman"/>
          <w:i/>
          <w:sz w:val="24"/>
          <w:szCs w:val="24"/>
        </w:rPr>
        <w:t>ефективна ставка для товарної залізорудної продукції із вмістом заліза понад 58 відсотків</w:t>
      </w:r>
    </w:p>
    <w:p w14:paraId="282D13C4" w14:textId="77777777" w:rsidR="00032BCE" w:rsidRPr="00032BCE" w:rsidRDefault="00032BCE" w:rsidP="00032BC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645C0597" w14:textId="77777777" w:rsidR="00032BCE" w:rsidRPr="00032BCE" w:rsidRDefault="00032BCE" w:rsidP="00032BC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032BC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Орієнтовні витрати держави на рекультивацію ділянки надр, порушених внаслідок самовільного видобування корисних копалин в залежності від виду корисної копалини (середні показники)*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815"/>
      </w:tblGrid>
      <w:tr w:rsidR="00032BCE" w:rsidRPr="00032BCE" w14:paraId="25D8DC3E" w14:textId="77777777" w:rsidTr="001A70A3">
        <w:tc>
          <w:tcPr>
            <w:tcW w:w="2424" w:type="pct"/>
            <w:hideMark/>
          </w:tcPr>
          <w:p w14:paraId="394F6552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Вид корисних копалин</w:t>
            </w:r>
          </w:p>
        </w:tc>
        <w:tc>
          <w:tcPr>
            <w:tcW w:w="2576" w:type="pct"/>
            <w:hideMark/>
          </w:tcPr>
          <w:p w14:paraId="35EED11B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Витрати на рекультивацію земельних ділянок/ліквідацію свердловини </w:t>
            </w:r>
          </w:p>
        </w:tc>
      </w:tr>
      <w:tr w:rsidR="00032BCE" w:rsidRPr="00032BCE" w14:paraId="04F522CD" w14:textId="77777777" w:rsidTr="001A70A3">
        <w:tc>
          <w:tcPr>
            <w:tcW w:w="2424" w:type="pct"/>
          </w:tcPr>
          <w:p w14:paraId="0B85EB6D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Вуглеводні</w:t>
            </w:r>
          </w:p>
        </w:tc>
        <w:tc>
          <w:tcPr>
            <w:tcW w:w="2576" w:type="pct"/>
            <w:hideMark/>
          </w:tcPr>
          <w:p w14:paraId="2BA57137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300 грн. за 1 п.м.</w:t>
            </w:r>
          </w:p>
        </w:tc>
      </w:tr>
      <w:tr w:rsidR="00032BCE" w:rsidRPr="00032BCE" w14:paraId="4BC48E3A" w14:textId="77777777" w:rsidTr="001A70A3">
        <w:tc>
          <w:tcPr>
            <w:tcW w:w="2424" w:type="pct"/>
          </w:tcPr>
          <w:p w14:paraId="4B44C174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Рудні</w:t>
            </w:r>
          </w:p>
        </w:tc>
        <w:tc>
          <w:tcPr>
            <w:tcW w:w="2576" w:type="pct"/>
          </w:tcPr>
          <w:p w14:paraId="27BE54B6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2 000 тис. грн за 1 га</w:t>
            </w:r>
          </w:p>
        </w:tc>
      </w:tr>
      <w:tr w:rsidR="00032BCE" w:rsidRPr="00032BCE" w14:paraId="5397FC95" w14:textId="77777777" w:rsidTr="001A70A3">
        <w:tc>
          <w:tcPr>
            <w:tcW w:w="2424" w:type="pct"/>
          </w:tcPr>
          <w:p w14:paraId="4E91252E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Пісок</w:t>
            </w:r>
          </w:p>
        </w:tc>
        <w:tc>
          <w:tcPr>
            <w:tcW w:w="2576" w:type="pct"/>
          </w:tcPr>
          <w:p w14:paraId="314C34F2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100 тис. грн. за 1 га</w:t>
            </w:r>
          </w:p>
        </w:tc>
      </w:tr>
      <w:tr w:rsidR="00032BCE" w:rsidRPr="00032BCE" w14:paraId="54056E61" w14:textId="77777777" w:rsidTr="001A70A3">
        <w:tc>
          <w:tcPr>
            <w:tcW w:w="2424" w:type="pct"/>
          </w:tcPr>
          <w:p w14:paraId="08C1C3B6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Нерудні</w:t>
            </w:r>
          </w:p>
        </w:tc>
        <w:tc>
          <w:tcPr>
            <w:tcW w:w="2576" w:type="pct"/>
          </w:tcPr>
          <w:p w14:paraId="0C7DDFF5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350 тис. грн за 1 га</w:t>
            </w:r>
          </w:p>
        </w:tc>
      </w:tr>
      <w:tr w:rsidR="00032BCE" w:rsidRPr="00032BCE" w14:paraId="5FC53982" w14:textId="77777777" w:rsidTr="001A70A3">
        <w:tc>
          <w:tcPr>
            <w:tcW w:w="2424" w:type="pct"/>
          </w:tcPr>
          <w:p w14:paraId="6F6857CD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Бурштин</w:t>
            </w:r>
          </w:p>
        </w:tc>
        <w:tc>
          <w:tcPr>
            <w:tcW w:w="2576" w:type="pct"/>
          </w:tcPr>
          <w:p w14:paraId="10FD4824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200 тис. грн за 1 га</w:t>
            </w:r>
          </w:p>
        </w:tc>
      </w:tr>
      <w:tr w:rsidR="00032BCE" w:rsidRPr="00032BCE" w14:paraId="767AFB4F" w14:textId="77777777" w:rsidTr="001A70A3">
        <w:tc>
          <w:tcPr>
            <w:tcW w:w="2424" w:type="pct"/>
          </w:tcPr>
          <w:p w14:paraId="2C3C256A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Води</w:t>
            </w:r>
          </w:p>
        </w:tc>
        <w:tc>
          <w:tcPr>
            <w:tcW w:w="2576" w:type="pct"/>
          </w:tcPr>
          <w:p w14:paraId="1A7430A5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1,5 тис. грн. за 1 п.м.</w:t>
            </w:r>
          </w:p>
        </w:tc>
      </w:tr>
    </w:tbl>
    <w:p w14:paraId="67080FF1" w14:textId="77777777" w:rsidR="00032BCE" w:rsidRPr="00032BCE" w:rsidRDefault="00032BCE" w:rsidP="00032BCE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uk-UA"/>
        </w:rPr>
      </w:pPr>
      <w:r w:rsidRPr="00032BCE">
        <w:rPr>
          <w:rFonts w:ascii="Times New Roman" w:eastAsia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uk-UA"/>
        </w:rPr>
        <w:t>*Орієнтовна витрати розраховані виходячи з Загальнодержавної програми розвитку мінерально-сировинної бази України на період до 2030 року, затвердженої Законом України від 21 квітня 2011 року № 3268-VI, та Пооб’єктного плану геологорозвідувальних робіт за державні кошти, затвердженого Держгеонадрами.</w:t>
      </w:r>
    </w:p>
    <w:p w14:paraId="3B586F56" w14:textId="77777777" w:rsidR="00032BCE" w:rsidRPr="00032BCE" w:rsidRDefault="00032BCE" w:rsidP="00032BCE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uk-UA"/>
        </w:rPr>
      </w:pPr>
    </w:p>
    <w:p w14:paraId="4AB40777" w14:textId="77777777" w:rsidR="00032BCE" w:rsidRPr="00032BCE" w:rsidRDefault="00032BCE" w:rsidP="00032BCE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bookmarkStart w:id="3" w:name="n185"/>
      <w:bookmarkEnd w:id="3"/>
      <w:r w:rsidRPr="00032BCE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Орієнтовні витрати держави на адміністрування встановлення факту самовільного користування надрами, розрахунку розміру збитків та притягнення суб’єктів самовільного користування надрами до відповідальності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3"/>
        <w:gridCol w:w="2712"/>
      </w:tblGrid>
      <w:tr w:rsidR="00032BCE" w:rsidRPr="00032BCE" w14:paraId="1AB2E327" w14:textId="77777777" w:rsidTr="001A70A3">
        <w:tc>
          <w:tcPr>
            <w:tcW w:w="3549" w:type="pct"/>
            <w:hideMark/>
          </w:tcPr>
          <w:p w14:paraId="778F362C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451" w:type="pct"/>
            <w:hideMark/>
          </w:tcPr>
          <w:p w14:paraId="4C1E1CEF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Витрати* на адміністрування </w:t>
            </w:r>
          </w:p>
          <w:p w14:paraId="3A48ECD8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(грн. за один захід)</w:t>
            </w:r>
          </w:p>
        </w:tc>
      </w:tr>
      <w:tr w:rsidR="00032BCE" w:rsidRPr="00032BCE" w14:paraId="4862FAB6" w14:textId="77777777" w:rsidTr="001A70A3">
        <w:tc>
          <w:tcPr>
            <w:tcW w:w="3549" w:type="pct"/>
            <w:hideMark/>
          </w:tcPr>
          <w:p w14:paraId="5BC109FC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(перевірки, штрафних санкцій, виконання рішень/ приписів тощо) та робота залучених спеціалістів</w:t>
            </w:r>
          </w:p>
        </w:tc>
        <w:tc>
          <w:tcPr>
            <w:tcW w:w="1451" w:type="pct"/>
            <w:hideMark/>
          </w:tcPr>
          <w:p w14:paraId="17A8F8F1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21 518,95 </w:t>
            </w:r>
          </w:p>
        </w:tc>
      </w:tr>
      <w:tr w:rsidR="00032BCE" w:rsidRPr="00032BCE" w14:paraId="75483096" w14:textId="77777777" w:rsidTr="001A70A3">
        <w:tc>
          <w:tcPr>
            <w:tcW w:w="3549" w:type="pct"/>
          </w:tcPr>
          <w:p w14:paraId="1838E4B2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Витрати, пов’язані з адмініструванням проведення слідчих дій в рамках досудового провадження</w:t>
            </w:r>
          </w:p>
        </w:tc>
        <w:tc>
          <w:tcPr>
            <w:tcW w:w="1451" w:type="pct"/>
          </w:tcPr>
          <w:p w14:paraId="59AA4C91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eastAsia="Times New Roman" w:cs="Calibri"/>
                <w:color w:val="222222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>12 283,7 </w:t>
            </w:r>
          </w:p>
        </w:tc>
      </w:tr>
      <w:tr w:rsidR="00032BCE" w:rsidRPr="00032BCE" w14:paraId="36987E54" w14:textId="77777777" w:rsidTr="001A70A3">
        <w:tc>
          <w:tcPr>
            <w:tcW w:w="3549" w:type="pct"/>
          </w:tcPr>
          <w:p w14:paraId="6D7CE97E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Витрати, пов’язані з адмініструванням представництва інтересів держави в суді в рамках притягнення винних осіб до кримінальної відповідальності та стягнення збитків</w:t>
            </w:r>
          </w:p>
        </w:tc>
        <w:tc>
          <w:tcPr>
            <w:tcW w:w="1451" w:type="pct"/>
          </w:tcPr>
          <w:p w14:paraId="6C16827A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eastAsia="Times New Roman" w:cs="Calibri"/>
                <w:color w:val="222222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> 6 272,7</w:t>
            </w:r>
          </w:p>
        </w:tc>
      </w:tr>
      <w:tr w:rsidR="00032BCE" w:rsidRPr="00032BCE" w14:paraId="1F2756C1" w14:textId="77777777" w:rsidTr="001A70A3">
        <w:tc>
          <w:tcPr>
            <w:tcW w:w="3549" w:type="pct"/>
          </w:tcPr>
          <w:p w14:paraId="133327AC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Витрати, пов’язані з адмініструванням судового провадження в кримінальних справах</w:t>
            </w:r>
          </w:p>
        </w:tc>
        <w:tc>
          <w:tcPr>
            <w:tcW w:w="1451" w:type="pct"/>
          </w:tcPr>
          <w:p w14:paraId="2C85AC14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eastAsia="Times New Roman" w:cs="Calibri"/>
                <w:color w:val="222222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> 7 839</w:t>
            </w:r>
          </w:p>
        </w:tc>
      </w:tr>
      <w:tr w:rsidR="00032BCE" w:rsidRPr="00032BCE" w14:paraId="5E3EE196" w14:textId="77777777" w:rsidTr="001A70A3">
        <w:tc>
          <w:tcPr>
            <w:tcW w:w="3549" w:type="pct"/>
          </w:tcPr>
          <w:p w14:paraId="4337FBA3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451" w:type="pct"/>
          </w:tcPr>
          <w:p w14:paraId="55BD67AB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47914,35</w:t>
            </w:r>
          </w:p>
        </w:tc>
      </w:tr>
    </w:tbl>
    <w:p w14:paraId="67A3B48A" w14:textId="5569B38C" w:rsidR="00C07EBB" w:rsidRPr="00962823" w:rsidRDefault="00032BCE" w:rsidP="00962823">
      <w:pPr>
        <w:spacing w:after="0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uk-UA"/>
        </w:rPr>
      </w:pPr>
      <w:r w:rsidRPr="00032BCE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* Орієнтовна вартість витрат, пов’язаних з адмініструванням, визначається шляхом множення фактичних витрат часу персоналу на усереднену заробітну плату спеціаліста відповідної кваліфікації.</w:t>
      </w:r>
    </w:p>
    <w:p w14:paraId="141AA6F7" w14:textId="77777777" w:rsidR="00C07EBB" w:rsidRDefault="00C07EBB" w:rsidP="001A687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8BE05CA" w14:textId="13BEA708" w:rsidR="00B960F4" w:rsidRPr="00D822D7" w:rsidRDefault="00D822D7" w:rsidP="001A68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uk-UA"/>
        </w:rPr>
        <w:t>Реалізація проекту акта вплине 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2520"/>
        <w:gridCol w:w="3096"/>
      </w:tblGrid>
      <w:tr w:rsidR="00DC1B7E" w:rsidRPr="00D822D7" w14:paraId="57F900E6" w14:textId="77777777" w:rsidTr="00E078F9">
        <w:tc>
          <w:tcPr>
            <w:tcW w:w="3729" w:type="dxa"/>
            <w:shd w:val="clear" w:color="auto" w:fill="auto"/>
          </w:tcPr>
          <w:p w14:paraId="5CF0FAA3" w14:textId="77777777" w:rsidR="00B960F4" w:rsidRPr="00D822D7" w:rsidRDefault="00B960F4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Групи (підгрупи)</w:t>
            </w:r>
          </w:p>
        </w:tc>
        <w:tc>
          <w:tcPr>
            <w:tcW w:w="2520" w:type="dxa"/>
            <w:shd w:val="clear" w:color="auto" w:fill="auto"/>
          </w:tcPr>
          <w:p w14:paraId="23CC1A68" w14:textId="77777777" w:rsidR="00B960F4" w:rsidRPr="00D822D7" w:rsidRDefault="00B960F4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3096" w:type="dxa"/>
            <w:shd w:val="clear" w:color="auto" w:fill="auto"/>
          </w:tcPr>
          <w:p w14:paraId="681DBD6E" w14:textId="77777777" w:rsidR="00B960F4" w:rsidRPr="00D822D7" w:rsidRDefault="00B960F4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</w:t>
            </w:r>
          </w:p>
        </w:tc>
      </w:tr>
      <w:tr w:rsidR="00DC1B7E" w:rsidRPr="00D822D7" w14:paraId="52D85D64" w14:textId="77777777" w:rsidTr="00E078F9">
        <w:tc>
          <w:tcPr>
            <w:tcW w:w="3729" w:type="dxa"/>
            <w:shd w:val="clear" w:color="auto" w:fill="auto"/>
          </w:tcPr>
          <w:p w14:paraId="06A44C87" w14:textId="77777777" w:rsidR="00B960F4" w:rsidRPr="00D822D7" w:rsidRDefault="00B960F4" w:rsidP="001A68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Громадяни</w:t>
            </w:r>
          </w:p>
        </w:tc>
        <w:tc>
          <w:tcPr>
            <w:tcW w:w="2520" w:type="dxa"/>
            <w:shd w:val="clear" w:color="auto" w:fill="auto"/>
          </w:tcPr>
          <w:p w14:paraId="681889C4" w14:textId="77777777" w:rsidR="00B960F4" w:rsidRPr="00D822D7" w:rsidRDefault="00BB6447" w:rsidP="00BB644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96" w:type="dxa"/>
            <w:shd w:val="clear" w:color="auto" w:fill="auto"/>
          </w:tcPr>
          <w:p w14:paraId="106A2349" w14:textId="77777777" w:rsidR="00B960F4" w:rsidRPr="00D822D7" w:rsidRDefault="00B960F4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1B7E" w:rsidRPr="00D822D7" w14:paraId="6B0E1DB0" w14:textId="77777777" w:rsidTr="00E078F9">
        <w:tc>
          <w:tcPr>
            <w:tcW w:w="3729" w:type="dxa"/>
            <w:shd w:val="clear" w:color="auto" w:fill="auto"/>
          </w:tcPr>
          <w:p w14:paraId="5183B62B" w14:textId="77777777" w:rsidR="00B960F4" w:rsidRPr="00D822D7" w:rsidRDefault="00B960F4" w:rsidP="001A68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Держава</w:t>
            </w:r>
          </w:p>
        </w:tc>
        <w:tc>
          <w:tcPr>
            <w:tcW w:w="2520" w:type="dxa"/>
            <w:shd w:val="clear" w:color="auto" w:fill="auto"/>
          </w:tcPr>
          <w:p w14:paraId="44F07E97" w14:textId="77777777" w:rsidR="00B960F4" w:rsidRPr="00D822D7" w:rsidRDefault="001A687C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96" w:type="dxa"/>
            <w:shd w:val="clear" w:color="auto" w:fill="auto"/>
          </w:tcPr>
          <w:p w14:paraId="59354111" w14:textId="77777777" w:rsidR="00B960F4" w:rsidRPr="00D822D7" w:rsidRDefault="00B960F4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1B7E" w:rsidRPr="00D822D7" w14:paraId="00B3B41D" w14:textId="77777777" w:rsidTr="00E078F9">
        <w:tc>
          <w:tcPr>
            <w:tcW w:w="3729" w:type="dxa"/>
            <w:shd w:val="clear" w:color="auto" w:fill="auto"/>
          </w:tcPr>
          <w:p w14:paraId="1795D416" w14:textId="77777777" w:rsidR="00B960F4" w:rsidRPr="00D822D7" w:rsidRDefault="00B960F4" w:rsidP="001A68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Суб’єкти господарювання</w:t>
            </w:r>
          </w:p>
        </w:tc>
        <w:tc>
          <w:tcPr>
            <w:tcW w:w="2520" w:type="dxa"/>
            <w:shd w:val="clear" w:color="auto" w:fill="auto"/>
          </w:tcPr>
          <w:p w14:paraId="69F6203D" w14:textId="77777777" w:rsidR="00B960F4" w:rsidRPr="00D822D7" w:rsidRDefault="001A687C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96" w:type="dxa"/>
            <w:shd w:val="clear" w:color="auto" w:fill="auto"/>
          </w:tcPr>
          <w:p w14:paraId="223FB29B" w14:textId="77777777" w:rsidR="00B960F4" w:rsidRPr="00D822D7" w:rsidRDefault="00B960F4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2"/>
    </w:tbl>
    <w:p w14:paraId="610E6B9C" w14:textId="77777777" w:rsidR="001F74B0" w:rsidRDefault="001F74B0" w:rsidP="001A687C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D5795C" w14:textId="13989EBD" w:rsidR="007151DE" w:rsidRPr="00D822D7" w:rsidRDefault="007151DE" w:rsidP="001A687C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0D0758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іл</w:t>
      </w:r>
      <w:r w:rsidR="000D0758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і державного регулювання</w:t>
      </w:r>
    </w:p>
    <w:p w14:paraId="589CF70D" w14:textId="4F4C16A5" w:rsidR="00C07EBB" w:rsidRDefault="00D822D7" w:rsidP="009E01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D822D7">
        <w:rPr>
          <w:rFonts w:ascii="Times New Roman" w:hAnsi="Times New Roman"/>
          <w:bCs/>
          <w:sz w:val="28"/>
          <w:szCs w:val="28"/>
        </w:rPr>
        <w:t xml:space="preserve">Метою </w:t>
      </w:r>
      <w:r w:rsidR="00C07EBB">
        <w:rPr>
          <w:rFonts w:ascii="Times New Roman" w:hAnsi="Times New Roman"/>
          <w:bCs/>
          <w:sz w:val="28"/>
          <w:szCs w:val="28"/>
        </w:rPr>
        <w:t xml:space="preserve">прийняття акта є </w:t>
      </w:r>
      <w:bookmarkStart w:id="4" w:name="_Hlk99662294"/>
      <w:r w:rsidR="00C07EB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удосконалення </w:t>
      </w:r>
      <w:r w:rsidR="00C07EB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державної політики у сфері геологічного вивчення та раціонального використання надр</w:t>
      </w:r>
      <w:r w:rsidR="00C07EB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нормативне урегулювання питання порядку, процедури та способу розрахунку розмірів відшкодування збитків, заподіяних державі внаслідок самовільного користування надрами, в тому числі на тимчасово окупованих територіях України, а також </w:t>
      </w:r>
      <w:r w:rsidR="00C07EBB">
        <w:rPr>
          <w:rFonts w:ascii="Times New Roman" w:hAnsi="Times New Roman"/>
          <w:sz w:val="28"/>
          <w:szCs w:val="28"/>
          <w:lang w:eastAsia="ru-RU"/>
        </w:rPr>
        <w:t xml:space="preserve"> завданих Україні внаслідок збройної агресії Російської Федерації.</w:t>
      </w:r>
    </w:p>
    <w:p w14:paraId="75DC5675" w14:textId="77777777" w:rsidR="007151DE" w:rsidRPr="00D822D7" w:rsidRDefault="007151DE" w:rsidP="00201EDA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99663927"/>
      <w:bookmarkEnd w:id="4"/>
    </w:p>
    <w:p w14:paraId="20EDCEE0" w14:textId="77777777" w:rsidR="000D0758" w:rsidRPr="00D822D7" w:rsidRDefault="007151DE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Визначення та оцінка альтернативних способів досягнення цілей </w:t>
      </w:r>
    </w:p>
    <w:p w14:paraId="5E263154" w14:textId="77777777" w:rsidR="00CE77D5" w:rsidRPr="00D822D7" w:rsidRDefault="00CE77D5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1. Визначення альтернативних способів</w:t>
      </w:r>
    </w:p>
    <w:p w14:paraId="7A3F4811" w14:textId="77777777" w:rsidR="007151DE" w:rsidRPr="00D822D7" w:rsidRDefault="007151DE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Існує два прийнятних альтернативних способи досягнення цілей державного регулювання встановленої мети.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0D0758" w:rsidRPr="00D822D7" w14:paraId="4EFD333E" w14:textId="77777777" w:rsidTr="00BA7F01">
        <w:tc>
          <w:tcPr>
            <w:tcW w:w="4785" w:type="dxa"/>
            <w:shd w:val="clear" w:color="auto" w:fill="auto"/>
          </w:tcPr>
          <w:p w14:paraId="68BCAB3C" w14:textId="77777777" w:rsidR="000D0758" w:rsidRPr="00D822D7" w:rsidRDefault="000D0758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4786" w:type="dxa"/>
            <w:shd w:val="clear" w:color="auto" w:fill="auto"/>
          </w:tcPr>
          <w:p w14:paraId="29020EC4" w14:textId="77777777" w:rsidR="000D0758" w:rsidRPr="00D822D7" w:rsidRDefault="000D0758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 альтернативи</w:t>
            </w:r>
          </w:p>
        </w:tc>
      </w:tr>
      <w:tr w:rsidR="00D822D7" w:rsidRPr="00D822D7" w14:paraId="5BB725C8" w14:textId="77777777" w:rsidTr="00BA7F01">
        <w:tc>
          <w:tcPr>
            <w:tcW w:w="4785" w:type="dxa"/>
            <w:shd w:val="clear" w:color="auto" w:fill="auto"/>
          </w:tcPr>
          <w:p w14:paraId="62A3BAA5" w14:textId="77777777" w:rsidR="00D822D7" w:rsidRPr="00D822D7" w:rsidRDefault="00D822D7" w:rsidP="001A68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Альтернатива 1.</w:t>
            </w:r>
          </w:p>
          <w:p w14:paraId="3E3C4613" w14:textId="77777777" w:rsidR="00D822D7" w:rsidRPr="00D822D7" w:rsidRDefault="00D822D7" w:rsidP="001A68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ситуації, яка існує на цей час.</w:t>
            </w:r>
          </w:p>
        </w:tc>
        <w:tc>
          <w:tcPr>
            <w:tcW w:w="4786" w:type="dxa"/>
            <w:shd w:val="clear" w:color="auto" w:fill="auto"/>
          </w:tcPr>
          <w:p w14:paraId="65D4D26C" w14:textId="77777777" w:rsidR="00032BCE" w:rsidRDefault="00032BCE" w:rsidP="001A687C">
            <w:pPr>
              <w:pStyle w:val="a3"/>
              <w:spacing w:line="276" w:lineRule="auto"/>
              <w:ind w:left="0"/>
              <w:jc w:val="both"/>
            </w:pPr>
            <w:r>
              <w:t>Результатом збереження поточної ситуації буде відсутність:</w:t>
            </w:r>
          </w:p>
          <w:p w14:paraId="60545CAF" w14:textId="77777777" w:rsidR="00962823" w:rsidRDefault="00D822D7" w:rsidP="001A687C">
            <w:pPr>
              <w:pStyle w:val="a3"/>
              <w:spacing w:line="276" w:lineRule="auto"/>
              <w:ind w:left="0"/>
              <w:jc w:val="both"/>
            </w:pPr>
            <w:r w:rsidRPr="00D822D7">
              <w:t xml:space="preserve"> </w:t>
            </w:r>
            <w:r w:rsidR="00032BCE" w:rsidRPr="00032BCE">
              <w:t xml:space="preserve">чіткого механізму визначення виду корисної копалини, що самовільно видобувається; </w:t>
            </w:r>
          </w:p>
          <w:p w14:paraId="57BCD67E" w14:textId="1D9E634E" w:rsidR="00032BCE" w:rsidRDefault="00032BCE" w:rsidP="001A687C">
            <w:pPr>
              <w:pStyle w:val="a3"/>
              <w:spacing w:line="276" w:lineRule="auto"/>
              <w:ind w:left="0"/>
              <w:jc w:val="both"/>
            </w:pPr>
            <w:r w:rsidRPr="00032BCE">
              <w:t xml:space="preserve">розмежування повноваження органів влади, які уповноважені законом здійснювати розрахунок збитків, заподіяних державі внаслідок самовільного користування надрами (ДЕІ та </w:t>
            </w:r>
            <w:r w:rsidRPr="00032BCE">
              <w:lastRenderedPageBreak/>
              <w:t xml:space="preserve">Держгеонадра), та порядок взаємодії між ними; </w:t>
            </w:r>
          </w:p>
          <w:p w14:paraId="5814403B" w14:textId="77777777" w:rsidR="00F16330" w:rsidRDefault="00032BCE" w:rsidP="001A687C">
            <w:pPr>
              <w:pStyle w:val="a3"/>
              <w:spacing w:line="276" w:lineRule="auto"/>
              <w:ind w:left="0"/>
              <w:jc w:val="both"/>
            </w:pPr>
            <w:r w:rsidRPr="00032BCE">
              <w:t xml:space="preserve">переліку документів, які можуть містити відомості про об’єм самовільно видобутих корисних копалин; </w:t>
            </w:r>
          </w:p>
          <w:p w14:paraId="29592397" w14:textId="75FF23FB" w:rsidR="00D822D7" w:rsidRPr="00D822D7" w:rsidRDefault="00032BCE" w:rsidP="001A687C">
            <w:pPr>
              <w:pStyle w:val="a3"/>
              <w:spacing w:line="276" w:lineRule="auto"/>
              <w:ind w:left="0"/>
              <w:jc w:val="both"/>
            </w:pPr>
            <w:r w:rsidRPr="00275F6F">
              <w:t>порядку та формули розрахунку розміру збитків, завданих державі внаслідок тимчасової окупації та анексії АР Крим, а також  завданих Україні внаслідок збройної агресії Російської Федерації.</w:t>
            </w:r>
          </w:p>
        </w:tc>
      </w:tr>
      <w:tr w:rsidR="000D0758" w:rsidRPr="00D822D7" w14:paraId="573CBB59" w14:textId="77777777" w:rsidTr="00BA7F01">
        <w:tc>
          <w:tcPr>
            <w:tcW w:w="4785" w:type="dxa"/>
            <w:shd w:val="clear" w:color="auto" w:fill="auto"/>
          </w:tcPr>
          <w:p w14:paraId="40DCE138" w14:textId="77777777" w:rsidR="00FC57C2" w:rsidRDefault="00D822D7" w:rsidP="00FC57C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Альтернатива 2.</w:t>
            </w:r>
          </w:p>
          <w:p w14:paraId="286D3705" w14:textId="23DF6524" w:rsidR="000D0758" w:rsidRPr="00D822D7" w:rsidRDefault="00FC57C2" w:rsidP="00FC57C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Затвердження</w:t>
            </w:r>
            <w:r w:rsidR="0096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наказу </w:t>
            </w:r>
            <w:r w:rsidR="00962823" w:rsidRPr="0096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Міністерства захисту довкілля та природних ресурсів України «Про затвердження Методики визначення розмірів відшкодування збитків, заподіяних державі внаслідок самовільного користування надрами»</w:t>
            </w:r>
            <w:r w:rsidR="0096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00E473D7" w14:textId="6CA04B20" w:rsidR="000D0758" w:rsidRPr="00201EDA" w:rsidRDefault="00201EDA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E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Вдосконалення </w:t>
            </w:r>
            <w:r w:rsidR="00A14ADB" w:rsidRPr="00201E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порядку, процедури та способу розрахунку розмірів відшкодування збитків, заподіяних державі внаслідок самовільного користування надрами, в тому числі на тимчасово окупованих територіях України, а також </w:t>
            </w:r>
            <w:r w:rsidR="00A14ADB" w:rsidRPr="00201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завданих Україні внаслідок збройної агресії Російської Федерації.</w:t>
            </w:r>
          </w:p>
        </w:tc>
      </w:tr>
    </w:tbl>
    <w:p w14:paraId="4FEC20AC" w14:textId="77777777" w:rsidR="00CE77D5" w:rsidRPr="00D822D7" w:rsidRDefault="00CE77D5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AE3589" w14:textId="77777777" w:rsidR="000D0758" w:rsidRPr="00D822D7" w:rsidRDefault="00CE77D5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Style w:val="rvts0"/>
          <w:rFonts w:ascii="Times New Roman" w:hAnsi="Times New Roman"/>
          <w:sz w:val="28"/>
          <w:szCs w:val="28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822D7">
        <w:rPr>
          <w:rStyle w:val="rvts0"/>
          <w:rFonts w:ascii="Times New Roman" w:hAnsi="Times New Roman"/>
          <w:sz w:val="28"/>
          <w:szCs w:val="28"/>
        </w:rPr>
        <w:t>Оцінка вибраних альтернативних способів досягнення цілей</w:t>
      </w:r>
    </w:p>
    <w:p w14:paraId="26489473" w14:textId="77777777" w:rsidR="00CE77D5" w:rsidRPr="00D822D7" w:rsidRDefault="00CE77D5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Style w:val="rvts0"/>
          <w:rFonts w:ascii="Times New Roman" w:hAnsi="Times New Roman"/>
          <w:sz w:val="28"/>
          <w:szCs w:val="28"/>
        </w:rPr>
        <w:t>Оцінка впливу на сферу інтересів держави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4567"/>
        <w:gridCol w:w="1631"/>
      </w:tblGrid>
      <w:tr w:rsidR="00DC1B7E" w:rsidRPr="00D822D7" w14:paraId="77CED364" w14:textId="77777777" w:rsidTr="00337AED">
        <w:tc>
          <w:tcPr>
            <w:tcW w:w="3510" w:type="dxa"/>
            <w:shd w:val="clear" w:color="auto" w:fill="auto"/>
          </w:tcPr>
          <w:p w14:paraId="4973C4C9" w14:textId="77777777" w:rsidR="00CE77D5" w:rsidRPr="00D822D7" w:rsidRDefault="00CE77D5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4820" w:type="dxa"/>
            <w:shd w:val="clear" w:color="auto" w:fill="auto"/>
          </w:tcPr>
          <w:p w14:paraId="79513805" w14:textId="77777777" w:rsidR="00CE77D5" w:rsidRPr="00D822D7" w:rsidRDefault="00CE77D5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Вигоди</w:t>
            </w:r>
          </w:p>
        </w:tc>
        <w:tc>
          <w:tcPr>
            <w:tcW w:w="1205" w:type="dxa"/>
            <w:shd w:val="clear" w:color="auto" w:fill="auto"/>
          </w:tcPr>
          <w:p w14:paraId="3BDF1253" w14:textId="77777777" w:rsidR="00CE77D5" w:rsidRPr="00D822D7" w:rsidRDefault="00CE77D5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</w:p>
        </w:tc>
      </w:tr>
      <w:tr w:rsidR="00DC1B7E" w:rsidRPr="00D822D7" w14:paraId="1DC0ABE6" w14:textId="77777777" w:rsidTr="00337AED">
        <w:tc>
          <w:tcPr>
            <w:tcW w:w="3510" w:type="dxa"/>
            <w:shd w:val="clear" w:color="auto" w:fill="auto"/>
          </w:tcPr>
          <w:p w14:paraId="4B6963BD" w14:textId="57C0D24E" w:rsidR="00FC57C2" w:rsidRDefault="00FC57C2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Альтернатива 1.</w:t>
            </w:r>
          </w:p>
          <w:p w14:paraId="549089FB" w14:textId="5F4D80AF" w:rsidR="0042151C" w:rsidRPr="00D822D7" w:rsidRDefault="005623E7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ситуації, яка існує на цей час.</w:t>
            </w:r>
          </w:p>
        </w:tc>
        <w:tc>
          <w:tcPr>
            <w:tcW w:w="4820" w:type="dxa"/>
            <w:shd w:val="clear" w:color="auto" w:fill="auto"/>
          </w:tcPr>
          <w:p w14:paraId="480A3654" w14:textId="6FB15963" w:rsidR="0042151C" w:rsidRPr="00D822D7" w:rsidRDefault="0096238A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Відсутні</w:t>
            </w:r>
          </w:p>
        </w:tc>
        <w:tc>
          <w:tcPr>
            <w:tcW w:w="1205" w:type="dxa"/>
            <w:shd w:val="clear" w:color="auto" w:fill="auto"/>
          </w:tcPr>
          <w:p w14:paraId="4AD30DAE" w14:textId="0BADF63F" w:rsidR="0042151C" w:rsidRPr="00D822D7" w:rsidRDefault="00C41EF7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Можливе збільшення витрат Держави на проведення позапланових перевірок</w:t>
            </w:r>
          </w:p>
        </w:tc>
      </w:tr>
      <w:tr w:rsidR="00DC1B7E" w:rsidRPr="00D822D7" w14:paraId="728CB917" w14:textId="77777777" w:rsidTr="00337AED">
        <w:tc>
          <w:tcPr>
            <w:tcW w:w="3510" w:type="dxa"/>
            <w:shd w:val="clear" w:color="auto" w:fill="auto"/>
          </w:tcPr>
          <w:p w14:paraId="0A49CD19" w14:textId="783E7F4E" w:rsidR="00FC57C2" w:rsidRDefault="00FC57C2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Альтернатива 2.</w:t>
            </w:r>
          </w:p>
          <w:p w14:paraId="038F4850" w14:textId="1B50EABB" w:rsidR="0042151C" w:rsidRPr="00D822D7" w:rsidRDefault="00FC57C2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Затвердження наказу </w:t>
            </w:r>
            <w:r w:rsidRPr="0096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Міністерства захисту довкілля та природних ресурсів України «Про затвердження Методики визначення розмірів відшкодування збитків, заподіяних державі внаслідок самовільного користування надрами»</w:t>
            </w:r>
          </w:p>
        </w:tc>
        <w:tc>
          <w:tcPr>
            <w:tcW w:w="4820" w:type="dxa"/>
            <w:shd w:val="clear" w:color="auto" w:fill="auto"/>
          </w:tcPr>
          <w:p w14:paraId="059D6D36" w14:textId="3894D581" w:rsidR="007841C3" w:rsidRPr="00D273A4" w:rsidRDefault="007841C3" w:rsidP="00754C56">
            <w:pPr>
              <w:ind w:right="-108"/>
              <w:jc w:val="both"/>
              <w:textAlignment w:val="baseline"/>
              <w:rPr>
                <w:color w:val="000000"/>
                <w:lang w:eastAsia="uk-UA"/>
              </w:rPr>
            </w:pPr>
            <w:r w:rsidRPr="00D273A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 досягнення чіткості правового регулювання</w:t>
            </w:r>
            <w:r w:rsidRPr="00D273A4">
              <w:rPr>
                <w:rFonts w:ascii="Times New Roman" w:hAnsi="Times New Roman"/>
                <w:color w:val="000000"/>
                <w:lang w:eastAsia="uk-UA"/>
              </w:rPr>
              <w:t>;</w:t>
            </w:r>
          </w:p>
          <w:p w14:paraId="7D6657CB" w14:textId="09527D13" w:rsidR="007841C3" w:rsidRPr="00D273A4" w:rsidRDefault="007841C3" w:rsidP="00754C56">
            <w:pPr>
              <w:ind w:right="-10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273A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 дотримання інтересів Держави у сфері надрокористування;</w:t>
            </w:r>
          </w:p>
          <w:p w14:paraId="253E30DE" w14:textId="32C8A30C" w:rsidR="007841C3" w:rsidRPr="00275F6F" w:rsidRDefault="007841C3" w:rsidP="00754C56">
            <w:pPr>
              <w:ind w:right="-10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273A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 отримання відшкодування збитків, заподіяних державі</w:t>
            </w:r>
            <w:r w:rsidR="00A00F3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A00F32" w:rsidRPr="00275F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суб´єктами господарювання</w:t>
            </w:r>
            <w:r w:rsidR="00B02B3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75F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внаслідок самовільного користування надрами</w:t>
            </w:r>
            <w:r w:rsidR="00D273A4" w:rsidRPr="00275F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709B4FCA" w14:textId="48A799DC" w:rsidR="00D273A4" w:rsidRPr="00275F6F" w:rsidRDefault="00D273A4" w:rsidP="00754C56">
            <w:pPr>
              <w:ind w:right="-10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75F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 отримання відшкодування збитків, завданих Україні внаслідок збройної агресії Російської Федерації та тимчасової окупації АР Крим.</w:t>
            </w:r>
          </w:p>
          <w:p w14:paraId="2AD5C98E" w14:textId="04947A6A" w:rsidR="0023404B" w:rsidRPr="00D549F3" w:rsidRDefault="0023404B" w:rsidP="007841C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14:paraId="66A211AB" w14:textId="02E4186D" w:rsidR="0042151C" w:rsidRPr="00D822D7" w:rsidRDefault="007A1526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Відсутні</w:t>
            </w:r>
          </w:p>
        </w:tc>
      </w:tr>
    </w:tbl>
    <w:p w14:paraId="1BA59DBF" w14:textId="77777777" w:rsidR="00CE77D5" w:rsidRPr="00D822D7" w:rsidRDefault="00CE77D5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A15B90" w14:textId="77777777" w:rsidR="00CE77D5" w:rsidRPr="00D822D7" w:rsidRDefault="0023332C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Style w:val="rvts0"/>
          <w:rFonts w:ascii="Times New Roman" w:hAnsi="Times New Roman"/>
          <w:sz w:val="28"/>
          <w:szCs w:val="28"/>
        </w:rPr>
        <w:t>Оцінка впливу на сферу інтересів громадян</w:t>
      </w:r>
      <w:r w:rsidR="00003148">
        <w:rPr>
          <w:rStyle w:val="rvts0"/>
          <w:rFonts w:ascii="Times New Roman" w:hAnsi="Times New Roman"/>
          <w:sz w:val="28"/>
          <w:szCs w:val="28"/>
        </w:rPr>
        <w:t>: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4442"/>
        <w:gridCol w:w="1676"/>
      </w:tblGrid>
      <w:tr w:rsidR="00DC1B7E" w:rsidRPr="00D822D7" w14:paraId="42A2DBA6" w14:textId="77777777" w:rsidTr="00337AED">
        <w:tc>
          <w:tcPr>
            <w:tcW w:w="3510" w:type="dxa"/>
            <w:shd w:val="clear" w:color="auto" w:fill="auto"/>
          </w:tcPr>
          <w:p w14:paraId="38427F7A" w14:textId="77777777" w:rsidR="0023332C" w:rsidRPr="00D822D7" w:rsidRDefault="0023332C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4820" w:type="dxa"/>
            <w:shd w:val="clear" w:color="auto" w:fill="auto"/>
          </w:tcPr>
          <w:p w14:paraId="6A212ED4" w14:textId="77777777" w:rsidR="0023332C" w:rsidRPr="00D822D7" w:rsidRDefault="0023332C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Вигоди</w:t>
            </w:r>
          </w:p>
        </w:tc>
        <w:tc>
          <w:tcPr>
            <w:tcW w:w="1092" w:type="dxa"/>
            <w:shd w:val="clear" w:color="auto" w:fill="auto"/>
          </w:tcPr>
          <w:p w14:paraId="160E6E1C" w14:textId="77777777" w:rsidR="0023332C" w:rsidRPr="00D822D7" w:rsidRDefault="0023332C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</w:p>
        </w:tc>
      </w:tr>
      <w:tr w:rsidR="00DC1B7E" w:rsidRPr="00D822D7" w14:paraId="656C4B18" w14:textId="77777777" w:rsidTr="00337AED">
        <w:tc>
          <w:tcPr>
            <w:tcW w:w="3510" w:type="dxa"/>
            <w:shd w:val="clear" w:color="auto" w:fill="auto"/>
          </w:tcPr>
          <w:p w14:paraId="691FBD1F" w14:textId="3D4282A9" w:rsidR="00FC57C2" w:rsidRDefault="00FC57C2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Альтернатива 1.</w:t>
            </w:r>
          </w:p>
          <w:p w14:paraId="7CD140F9" w14:textId="51D30BA9" w:rsidR="0023332C" w:rsidRPr="00D822D7" w:rsidRDefault="005623E7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ситуації, яка існує на цей час.</w:t>
            </w:r>
          </w:p>
        </w:tc>
        <w:tc>
          <w:tcPr>
            <w:tcW w:w="4820" w:type="dxa"/>
            <w:shd w:val="clear" w:color="auto" w:fill="auto"/>
          </w:tcPr>
          <w:p w14:paraId="542E8531" w14:textId="51B28FF3" w:rsidR="0023332C" w:rsidRDefault="0096238A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Відсутні</w:t>
            </w:r>
          </w:p>
          <w:p w14:paraId="1D8C36D3" w14:textId="77777777" w:rsidR="007A1526" w:rsidRDefault="007A1526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DE0A8A" w14:textId="77777777" w:rsidR="007A1526" w:rsidRDefault="007A1526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6554BA" w14:textId="77777777" w:rsidR="007A1526" w:rsidRDefault="007A1526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C05B8C" w14:textId="77777777" w:rsidR="007A1526" w:rsidRDefault="007A1526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3A7D12" w14:textId="77777777" w:rsidR="007A1526" w:rsidRDefault="007A1526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49B1C9" w14:textId="77777777" w:rsidR="007A1526" w:rsidRDefault="007A1526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B69037" w14:textId="46DCC3A0" w:rsidR="007A1526" w:rsidRPr="00D822D7" w:rsidRDefault="007A1526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30C735EB" w14:textId="1C2D3303" w:rsidR="0023332C" w:rsidRPr="00D822D7" w:rsidRDefault="0023332C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6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Ризик настання негативних наслідків для довкілля та людей внаслідок самовільного користування надрами</w:t>
            </w:r>
            <w:r w:rsidR="00D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6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F86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здійснюється з порушенням вимог законодавства</w:t>
            </w:r>
          </w:p>
        </w:tc>
      </w:tr>
      <w:tr w:rsidR="00DC1B7E" w:rsidRPr="00D822D7" w14:paraId="736B68FA" w14:textId="77777777" w:rsidTr="00337AED">
        <w:tc>
          <w:tcPr>
            <w:tcW w:w="3510" w:type="dxa"/>
            <w:shd w:val="clear" w:color="auto" w:fill="auto"/>
          </w:tcPr>
          <w:p w14:paraId="53A35CAB" w14:textId="7F730948" w:rsidR="00FC57C2" w:rsidRDefault="00FC57C2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Альтернатива 2</w:t>
            </w:r>
          </w:p>
          <w:p w14:paraId="7B3803E4" w14:textId="2EFA4208" w:rsidR="00FC57C2" w:rsidRDefault="00FC57C2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Затвердження наказу </w:t>
            </w:r>
            <w:r w:rsidRPr="0096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Міністерства захисту довкілля та природних ресурсів України «Про затвердження Методики визначення розмірів відшкодування збитків, заподіяних державі внаслідок самовільного користування надрами»</w:t>
            </w:r>
          </w:p>
          <w:p w14:paraId="0689B695" w14:textId="2296152B" w:rsidR="0023332C" w:rsidRPr="00D822D7" w:rsidRDefault="0023332C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6C2E23F4" w14:textId="54B028AF" w:rsidR="0023332C" w:rsidRPr="00D822D7" w:rsidRDefault="007A1526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44F">
              <w:rPr>
                <w:rFonts w:ascii="Times New Roman" w:hAnsi="Times New Roman"/>
                <w:sz w:val="24"/>
                <w:szCs w:val="24"/>
              </w:rPr>
              <w:t xml:space="preserve">Зменшення випадків звернення фізичних осіб для проведення позапланових перевірок внаслідок самовільного </w:t>
            </w:r>
            <w:r w:rsidRPr="00FE37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користування надрами на земельних ділянках фізичних осіб та землях комунальної власності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та відповідно зменшення витрат держави на проведення таких заходів.</w:t>
            </w:r>
          </w:p>
        </w:tc>
        <w:tc>
          <w:tcPr>
            <w:tcW w:w="1092" w:type="dxa"/>
            <w:shd w:val="clear" w:color="auto" w:fill="auto"/>
          </w:tcPr>
          <w:p w14:paraId="41263FD3" w14:textId="77777777" w:rsidR="0023332C" w:rsidRPr="00D822D7" w:rsidRDefault="0023332C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Відсутні </w:t>
            </w:r>
          </w:p>
        </w:tc>
      </w:tr>
    </w:tbl>
    <w:p w14:paraId="7AA72B2A" w14:textId="77777777" w:rsidR="0023332C" w:rsidRPr="00D822D7" w:rsidRDefault="0023332C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2FDD45" w14:textId="42948259" w:rsidR="00337AED" w:rsidRPr="00FA4E59" w:rsidRDefault="00337AED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Style w:val="rvts0"/>
          <w:rFonts w:ascii="Times New Roman" w:hAnsi="Times New Roman"/>
          <w:sz w:val="28"/>
          <w:szCs w:val="28"/>
        </w:rPr>
      </w:pPr>
      <w:r w:rsidRPr="00FA4E59">
        <w:rPr>
          <w:rStyle w:val="rvts0"/>
          <w:rFonts w:ascii="Times New Roman" w:hAnsi="Times New Roman"/>
          <w:sz w:val="28"/>
          <w:szCs w:val="28"/>
        </w:rPr>
        <w:t>Оцінка впливу на сферу інтересів суб’єктів господарювання</w:t>
      </w:r>
      <w:r w:rsidR="00370B44">
        <w:rPr>
          <w:rStyle w:val="rvts0"/>
          <w:rFonts w:ascii="Times New Roman" w:hAnsi="Times New Roman"/>
          <w:sz w:val="28"/>
          <w:szCs w:val="28"/>
        </w:rPr>
        <w:t>:</w:t>
      </w:r>
    </w:p>
    <w:p w14:paraId="19489961" w14:textId="36732D0E" w:rsidR="00337AED" w:rsidRPr="001A687C" w:rsidRDefault="00337AED" w:rsidP="001F74B0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Style w:val="rvts0"/>
          <w:rFonts w:ascii="Times New Roman" w:hAnsi="Times New Roman"/>
          <w:b/>
          <w:sz w:val="28"/>
          <w:szCs w:val="28"/>
          <w:highlight w:val="yellow"/>
        </w:rPr>
      </w:pPr>
      <w:r w:rsidRPr="001A687C">
        <w:rPr>
          <w:rStyle w:val="FontStyle41"/>
          <w:b w:val="0"/>
          <w:sz w:val="28"/>
          <w:szCs w:val="28"/>
        </w:rPr>
        <w:t xml:space="preserve"> </w:t>
      </w:r>
    </w:p>
    <w:p w14:paraId="1189D9C7" w14:textId="5A16D430" w:rsidR="007A1526" w:rsidRDefault="007A1526" w:rsidP="005623E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5"/>
        <w:gridCol w:w="1482"/>
        <w:gridCol w:w="1495"/>
        <w:gridCol w:w="1458"/>
        <w:gridCol w:w="1475"/>
        <w:gridCol w:w="1470"/>
      </w:tblGrid>
      <w:tr w:rsidR="00C70EDF" w:rsidRPr="007840E6" w14:paraId="54EACB7D" w14:textId="77777777" w:rsidTr="00C70EDF">
        <w:trPr>
          <w:trHeight w:val="384"/>
        </w:trPr>
        <w:tc>
          <w:tcPr>
            <w:tcW w:w="1557" w:type="dxa"/>
          </w:tcPr>
          <w:p w14:paraId="0431CA00" w14:textId="2B524F3C" w:rsidR="00C70EDF" w:rsidRPr="007840E6" w:rsidRDefault="00C70EDF" w:rsidP="005623E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1557" w:type="dxa"/>
          </w:tcPr>
          <w:p w14:paraId="051F2511" w14:textId="42ECABA5" w:rsidR="00C70EDF" w:rsidRPr="007840E6" w:rsidRDefault="00C70EDF" w:rsidP="005623E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Великі</w:t>
            </w:r>
          </w:p>
        </w:tc>
        <w:tc>
          <w:tcPr>
            <w:tcW w:w="1557" w:type="dxa"/>
          </w:tcPr>
          <w:p w14:paraId="16DDA018" w14:textId="0C81A047" w:rsidR="00C70EDF" w:rsidRPr="007840E6" w:rsidRDefault="00C70EDF" w:rsidP="005623E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Середні</w:t>
            </w:r>
          </w:p>
        </w:tc>
        <w:tc>
          <w:tcPr>
            <w:tcW w:w="1558" w:type="dxa"/>
          </w:tcPr>
          <w:p w14:paraId="4F5384EC" w14:textId="63EE7445" w:rsidR="00C70EDF" w:rsidRPr="007840E6" w:rsidRDefault="00C70EDF" w:rsidP="005623E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Малі</w:t>
            </w:r>
          </w:p>
        </w:tc>
        <w:tc>
          <w:tcPr>
            <w:tcW w:w="1558" w:type="dxa"/>
          </w:tcPr>
          <w:p w14:paraId="521F2128" w14:textId="4DEF68E9" w:rsidR="00C70EDF" w:rsidRPr="007840E6" w:rsidRDefault="00C70EDF" w:rsidP="005623E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Мікро</w:t>
            </w:r>
          </w:p>
        </w:tc>
        <w:tc>
          <w:tcPr>
            <w:tcW w:w="1558" w:type="dxa"/>
          </w:tcPr>
          <w:p w14:paraId="0F47EA0E" w14:textId="7498976C" w:rsidR="00C70EDF" w:rsidRPr="007840E6" w:rsidRDefault="00C70EDF" w:rsidP="005623E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</w:t>
            </w:r>
          </w:p>
        </w:tc>
      </w:tr>
      <w:tr w:rsidR="00C70EDF" w:rsidRPr="00C70EDF" w14:paraId="1971BD3F" w14:textId="77777777" w:rsidTr="00C70EDF">
        <w:trPr>
          <w:trHeight w:val="1565"/>
        </w:trPr>
        <w:tc>
          <w:tcPr>
            <w:tcW w:w="1557" w:type="dxa"/>
          </w:tcPr>
          <w:p w14:paraId="6EF33131" w14:textId="02B30A2F" w:rsidR="00C70EDF" w:rsidRPr="007840E6" w:rsidRDefault="00C70EDF" w:rsidP="005623E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Кількість суб'єктів господарювання, </w:t>
            </w:r>
          </w:p>
          <w:p w14:paraId="4E8D6149" w14:textId="20CD2F35" w:rsidR="00C70EDF" w:rsidRPr="007840E6" w:rsidRDefault="00C70EDF" w:rsidP="005623E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 підпадають під дію регулювання, одиниць</w:t>
            </w:r>
          </w:p>
        </w:tc>
        <w:tc>
          <w:tcPr>
            <w:tcW w:w="1557" w:type="dxa"/>
          </w:tcPr>
          <w:p w14:paraId="20DA166C" w14:textId="47AA046E" w:rsidR="00C70EDF" w:rsidRPr="007840E6" w:rsidRDefault="00C70EDF" w:rsidP="00C70E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7840E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1557" w:type="dxa"/>
          </w:tcPr>
          <w:p w14:paraId="699AEC19" w14:textId="702E39EC" w:rsidR="00C70EDF" w:rsidRPr="007840E6" w:rsidRDefault="00C70EDF" w:rsidP="00C70E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0E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1558" w:type="dxa"/>
          </w:tcPr>
          <w:p w14:paraId="77606421" w14:textId="6441B42D" w:rsidR="00C70EDF" w:rsidRPr="007840E6" w:rsidRDefault="00C70EDF" w:rsidP="00C70E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</w:tcPr>
          <w:p w14:paraId="47EE3927" w14:textId="7B3A6141" w:rsidR="00C70EDF" w:rsidRPr="007840E6" w:rsidRDefault="00C70EDF" w:rsidP="00C70E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</w:tcPr>
          <w:p w14:paraId="19136E0E" w14:textId="2C629427" w:rsidR="00C70EDF" w:rsidRPr="007840E6" w:rsidRDefault="00C70EDF" w:rsidP="00C70E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7840E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100</w:t>
            </w:r>
          </w:p>
        </w:tc>
      </w:tr>
      <w:tr w:rsidR="00C70EDF" w:rsidRPr="007840E6" w14:paraId="11F97D8D" w14:textId="77777777" w:rsidTr="00C70EDF">
        <w:trPr>
          <w:trHeight w:val="1395"/>
        </w:trPr>
        <w:tc>
          <w:tcPr>
            <w:tcW w:w="1557" w:type="dxa"/>
          </w:tcPr>
          <w:p w14:paraId="3B75C92B" w14:textId="500F6FA1" w:rsidR="00C70EDF" w:rsidRPr="007840E6" w:rsidRDefault="00C70EDF" w:rsidP="005623E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0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Питома вага групи, у загальній кількості, відсотків</w:t>
            </w:r>
          </w:p>
        </w:tc>
        <w:tc>
          <w:tcPr>
            <w:tcW w:w="1557" w:type="dxa"/>
          </w:tcPr>
          <w:p w14:paraId="30B341B3" w14:textId="3870FAE3" w:rsidR="00C70EDF" w:rsidRPr="007840E6" w:rsidRDefault="00C70EDF" w:rsidP="00C70E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0E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1557" w:type="dxa"/>
          </w:tcPr>
          <w:p w14:paraId="67EC4A04" w14:textId="61559C85" w:rsidR="00C70EDF" w:rsidRPr="007840E6" w:rsidRDefault="00C70EDF" w:rsidP="00C70E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0E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1558" w:type="dxa"/>
          </w:tcPr>
          <w:p w14:paraId="6EE05B0F" w14:textId="0C884EBF" w:rsidR="00C70EDF" w:rsidRPr="007840E6" w:rsidRDefault="00C70EDF" w:rsidP="00C70E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</w:tcPr>
          <w:p w14:paraId="301245F6" w14:textId="09B1FECA" w:rsidR="00C70EDF" w:rsidRPr="007840E6" w:rsidRDefault="00C70EDF" w:rsidP="00C70E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0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</w:tcPr>
          <w:p w14:paraId="4812BD6B" w14:textId="5CDA5CFB" w:rsidR="00C70EDF" w:rsidRPr="007840E6" w:rsidRDefault="00C70EDF" w:rsidP="00C70E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7840E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</w:tbl>
    <w:p w14:paraId="72CC01BB" w14:textId="77777777" w:rsidR="00C70EDF" w:rsidRDefault="00C70EDF" w:rsidP="005623E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373"/>
        <w:gridCol w:w="1843"/>
      </w:tblGrid>
      <w:tr w:rsidR="00021E31" w:rsidRPr="00FA4E59" w14:paraId="1B8507CD" w14:textId="77777777" w:rsidTr="00021E31">
        <w:tc>
          <w:tcPr>
            <w:tcW w:w="4248" w:type="dxa"/>
            <w:shd w:val="clear" w:color="auto" w:fill="auto"/>
          </w:tcPr>
          <w:p w14:paraId="62E74799" w14:textId="77777777" w:rsidR="00021E31" w:rsidRPr="00414262" w:rsidRDefault="00021E31" w:rsidP="00050F3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3373" w:type="dxa"/>
            <w:shd w:val="clear" w:color="auto" w:fill="auto"/>
          </w:tcPr>
          <w:p w14:paraId="5DB297D0" w14:textId="77777777" w:rsidR="00021E31" w:rsidRPr="00414262" w:rsidRDefault="00021E31" w:rsidP="00050F3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Вигоди</w:t>
            </w:r>
          </w:p>
        </w:tc>
        <w:tc>
          <w:tcPr>
            <w:tcW w:w="1843" w:type="dxa"/>
            <w:shd w:val="clear" w:color="auto" w:fill="auto"/>
          </w:tcPr>
          <w:p w14:paraId="27770199" w14:textId="77777777" w:rsidR="00021E31" w:rsidRPr="00414262" w:rsidRDefault="00021E31" w:rsidP="00050F36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</w:p>
        </w:tc>
      </w:tr>
      <w:tr w:rsidR="00021E31" w:rsidRPr="00FA4E59" w14:paraId="4333E678" w14:textId="77777777" w:rsidTr="00021E31">
        <w:tc>
          <w:tcPr>
            <w:tcW w:w="4248" w:type="dxa"/>
            <w:shd w:val="clear" w:color="auto" w:fill="auto"/>
          </w:tcPr>
          <w:p w14:paraId="5989064F" w14:textId="77777777" w:rsidR="00021E31" w:rsidRDefault="00021E31" w:rsidP="0005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Альтернатива 1</w:t>
            </w:r>
          </w:p>
          <w:p w14:paraId="78C3DF6F" w14:textId="77777777" w:rsidR="00021E31" w:rsidRPr="00414262" w:rsidRDefault="00021E31" w:rsidP="0005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ситуації, яка існує на цей час.</w:t>
            </w:r>
          </w:p>
        </w:tc>
        <w:tc>
          <w:tcPr>
            <w:tcW w:w="3373" w:type="dxa"/>
            <w:shd w:val="clear" w:color="auto" w:fill="auto"/>
          </w:tcPr>
          <w:p w14:paraId="0D5FA442" w14:textId="77777777" w:rsidR="00021E31" w:rsidRPr="00414262" w:rsidRDefault="00021E31" w:rsidP="00050F3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Немає </w:t>
            </w:r>
          </w:p>
        </w:tc>
        <w:tc>
          <w:tcPr>
            <w:tcW w:w="1843" w:type="dxa"/>
            <w:shd w:val="clear" w:color="auto" w:fill="auto"/>
          </w:tcPr>
          <w:p w14:paraId="292D2011" w14:textId="77777777" w:rsidR="00021E31" w:rsidRPr="00414262" w:rsidRDefault="00021E31" w:rsidP="00050F3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Можливі часові та фінансово-організаційні витрати</w:t>
            </w:r>
            <w:r w:rsidRPr="0041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E31" w:rsidRPr="00FA4E59" w14:paraId="2048871C" w14:textId="77777777" w:rsidTr="00021E31">
        <w:tc>
          <w:tcPr>
            <w:tcW w:w="4248" w:type="dxa"/>
            <w:shd w:val="clear" w:color="auto" w:fill="auto"/>
          </w:tcPr>
          <w:p w14:paraId="391D6F92" w14:textId="77777777" w:rsidR="00021E31" w:rsidRDefault="00021E31" w:rsidP="0005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Альтернатива 2</w:t>
            </w:r>
          </w:p>
          <w:p w14:paraId="394E160C" w14:textId="77777777" w:rsidR="00021E31" w:rsidRDefault="00021E31" w:rsidP="0005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Затвердження наказу </w:t>
            </w:r>
            <w:r w:rsidRPr="0096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Міністерства захисту довкілля та природних ресурсів України «Про затвердження Методики визначення розмірів відшкодування збитків, заподіяних державі внаслідок самовільного користування надрами»</w:t>
            </w:r>
          </w:p>
          <w:p w14:paraId="03B09451" w14:textId="77777777" w:rsidR="00021E31" w:rsidRDefault="00021E31" w:rsidP="0005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36A59E" w14:textId="77777777" w:rsidR="00021E31" w:rsidRPr="00414262" w:rsidRDefault="00021E31" w:rsidP="00050F3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shd w:val="clear" w:color="auto" w:fill="auto"/>
          </w:tcPr>
          <w:p w14:paraId="537C6F18" w14:textId="77777777" w:rsidR="00021E31" w:rsidRPr="00414262" w:rsidRDefault="00021E31" w:rsidP="00050F3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7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Усунення демпінгуючих цін на корисні копалини, видобуті самовільно без дотримання вимог законодавства про надрокористування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7BEDD9C" w14:textId="77777777" w:rsidR="00021E31" w:rsidRPr="00414262" w:rsidRDefault="00021E31" w:rsidP="00050F3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Відсутні </w:t>
            </w:r>
          </w:p>
        </w:tc>
      </w:tr>
    </w:tbl>
    <w:p w14:paraId="090E0155" w14:textId="77777777" w:rsidR="00021E31" w:rsidRDefault="00021E31" w:rsidP="005623E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F09311" w14:textId="4059B387" w:rsidR="007A1526" w:rsidRDefault="00DF158B" w:rsidP="0090659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1"/>
          <w:b w:val="0"/>
          <w:sz w:val="28"/>
          <w:szCs w:val="28"/>
        </w:rPr>
      </w:pPr>
      <w:r w:rsidRPr="007840E6">
        <w:rPr>
          <w:rStyle w:val="FontStyle41"/>
          <w:bCs w:val="0"/>
          <w:sz w:val="28"/>
          <w:szCs w:val="28"/>
        </w:rPr>
        <w:t>Примітка.</w:t>
      </w:r>
      <w:r w:rsidRPr="007840E6">
        <w:rPr>
          <w:rStyle w:val="FontStyle41"/>
          <w:b w:val="0"/>
          <w:sz w:val="28"/>
          <w:szCs w:val="28"/>
        </w:rPr>
        <w:t xml:space="preserve"> </w:t>
      </w:r>
      <w:r w:rsidR="00C70EDF" w:rsidRPr="007840E6">
        <w:rPr>
          <w:rStyle w:val="FontStyle41"/>
          <w:b w:val="0"/>
          <w:sz w:val="28"/>
          <w:szCs w:val="28"/>
        </w:rPr>
        <w:t xml:space="preserve">Оскільки у цьому випадку кількість суб'єктів господарювання визначити неможливо, розрахунки витрат здійснені на 1 </w:t>
      </w:r>
      <w:r w:rsidR="003E13DA" w:rsidRPr="007840E6">
        <w:rPr>
          <w:rStyle w:val="FontStyle41"/>
          <w:b w:val="0"/>
          <w:sz w:val="28"/>
          <w:szCs w:val="28"/>
        </w:rPr>
        <w:t xml:space="preserve">умовного </w:t>
      </w:r>
      <w:r w:rsidR="00C70EDF" w:rsidRPr="007840E6">
        <w:rPr>
          <w:rStyle w:val="FontStyle41"/>
          <w:b w:val="0"/>
          <w:sz w:val="28"/>
          <w:szCs w:val="28"/>
        </w:rPr>
        <w:t>суб'єкта господарювання</w:t>
      </w:r>
      <w:r w:rsidR="00AC51C7" w:rsidRPr="007840E6">
        <w:rPr>
          <w:rStyle w:val="FontStyle41"/>
          <w:b w:val="0"/>
          <w:sz w:val="28"/>
          <w:szCs w:val="28"/>
        </w:rPr>
        <w:t>.</w:t>
      </w:r>
    </w:p>
    <w:p w14:paraId="14A4361D" w14:textId="77777777" w:rsidR="0090659C" w:rsidRPr="0090659C" w:rsidRDefault="0090659C" w:rsidP="0090659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C00000"/>
          <w:sz w:val="28"/>
          <w:szCs w:val="28"/>
        </w:rPr>
      </w:pPr>
    </w:p>
    <w:p w14:paraId="497EFB72" w14:textId="55B81F61" w:rsidR="000C187B" w:rsidRPr="00D822D7" w:rsidRDefault="007151DE" w:rsidP="001F74B0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0C187B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0C187B" w:rsidRPr="00D822D7">
        <w:rPr>
          <w:rStyle w:val="rvts15"/>
          <w:rFonts w:ascii="Times New Roman" w:hAnsi="Times New Roman"/>
          <w:b/>
          <w:sz w:val="28"/>
          <w:szCs w:val="28"/>
        </w:rPr>
        <w:t>ибір найбільш оптимального альтернативного способу досягнення цілей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2955"/>
        <w:gridCol w:w="2766"/>
      </w:tblGrid>
      <w:tr w:rsidR="000C187B" w:rsidRPr="00D822D7" w14:paraId="4A9CDFC1" w14:textId="77777777" w:rsidTr="00B566DD">
        <w:tc>
          <w:tcPr>
            <w:tcW w:w="1939" w:type="pct"/>
            <w:hideMark/>
          </w:tcPr>
          <w:p w14:paraId="278125F9" w14:textId="77777777" w:rsidR="000C187B" w:rsidRPr="00D822D7" w:rsidRDefault="000C187B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581" w:type="pct"/>
            <w:hideMark/>
          </w:tcPr>
          <w:p w14:paraId="209A87F8" w14:textId="77777777" w:rsidR="000C187B" w:rsidRPr="00D822D7" w:rsidRDefault="000C187B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1480" w:type="pct"/>
            <w:hideMark/>
          </w:tcPr>
          <w:p w14:paraId="635EE5A5" w14:textId="77777777" w:rsidR="000C187B" w:rsidRPr="00D822D7" w:rsidRDefault="000C187B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Коментарі щодо присвоєння відповідного бала</w:t>
            </w:r>
          </w:p>
        </w:tc>
      </w:tr>
      <w:tr w:rsidR="00B566DD" w:rsidRPr="00D822D7" w14:paraId="2CAF2AC4" w14:textId="77777777" w:rsidTr="00B566DD">
        <w:tc>
          <w:tcPr>
            <w:tcW w:w="1939" w:type="pct"/>
          </w:tcPr>
          <w:p w14:paraId="030B5A2B" w14:textId="2C0E887F" w:rsidR="00FC57C2" w:rsidRDefault="00FC57C2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Альтернатива 1</w:t>
            </w:r>
          </w:p>
          <w:p w14:paraId="7F40CFC4" w14:textId="0557A2EA" w:rsidR="00B566DD" w:rsidRPr="00D822D7" w:rsidRDefault="005623E7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ситуації, яка існує на цей час.</w:t>
            </w:r>
          </w:p>
        </w:tc>
        <w:tc>
          <w:tcPr>
            <w:tcW w:w="1581" w:type="pct"/>
          </w:tcPr>
          <w:p w14:paraId="708D6C0C" w14:textId="77777777" w:rsidR="000D7619" w:rsidRDefault="000D7619" w:rsidP="000D761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46F9E8A" w14:textId="52BE7B4F" w:rsidR="00B566DD" w:rsidRPr="00D822D7" w:rsidRDefault="005E2BFC" w:rsidP="000D76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80" w:type="pct"/>
          </w:tcPr>
          <w:p w14:paraId="79221C93" w14:textId="77777777" w:rsidR="00B566DD" w:rsidRPr="00D822D7" w:rsidRDefault="005E2BFC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Проблема продовжуватиме існувати</w:t>
            </w:r>
          </w:p>
        </w:tc>
      </w:tr>
      <w:tr w:rsidR="00B566DD" w:rsidRPr="00D822D7" w14:paraId="5729D7FA" w14:textId="77777777" w:rsidTr="00B566DD">
        <w:tc>
          <w:tcPr>
            <w:tcW w:w="1939" w:type="pct"/>
          </w:tcPr>
          <w:p w14:paraId="34553DA5" w14:textId="77777777" w:rsidR="00FC57C2" w:rsidRDefault="00FC57C2" w:rsidP="00FC57C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Альтернатива 2</w:t>
            </w:r>
          </w:p>
          <w:p w14:paraId="452AB044" w14:textId="77777777" w:rsidR="00FC57C2" w:rsidRDefault="00FC57C2" w:rsidP="00FC57C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Затвердження наказу </w:t>
            </w:r>
            <w:r w:rsidRPr="0096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Міністерства захисту довкілля та природних ресурсів України «Про затвердження Методики визначення розмірів відшкодування збитків, заподіяних державі внаслідок самовільного користування надрами»</w:t>
            </w:r>
          </w:p>
          <w:p w14:paraId="57086251" w14:textId="54EDC161" w:rsidR="00B566DD" w:rsidRPr="00D822D7" w:rsidRDefault="00B566DD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pct"/>
          </w:tcPr>
          <w:p w14:paraId="4F4331E5" w14:textId="77777777" w:rsidR="000D7619" w:rsidRDefault="000D7619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113E17E" w14:textId="77777777" w:rsidR="000D7619" w:rsidRDefault="000D7619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7B09158" w14:textId="5FDDF52E" w:rsidR="00B566DD" w:rsidRPr="00D822D7" w:rsidRDefault="00CA6B84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0" w:type="pct"/>
          </w:tcPr>
          <w:p w14:paraId="4BC4C797" w14:textId="77777777" w:rsidR="00B566DD" w:rsidRPr="00D822D7" w:rsidRDefault="005E2BFC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Style w:val="rvts0"/>
                <w:rFonts w:ascii="Times New Roman" w:hAnsi="Times New Roman"/>
                <w:sz w:val="24"/>
                <w:szCs w:val="24"/>
              </w:rPr>
              <w:t>Цілі прийняття регуляторного акта, які можуть бути досягнуті повною мірою (проблема більше існувати не буде)</w:t>
            </w:r>
          </w:p>
        </w:tc>
      </w:tr>
    </w:tbl>
    <w:p w14:paraId="7B4F6FC7" w14:textId="77777777" w:rsidR="000C187B" w:rsidRPr="00D822D7" w:rsidRDefault="000C187B" w:rsidP="001A687C">
      <w:pPr>
        <w:spacing w:after="0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5"/>
        <w:gridCol w:w="3656"/>
        <w:gridCol w:w="2564"/>
      </w:tblGrid>
      <w:tr w:rsidR="005E2BFC" w:rsidRPr="00D822D7" w14:paraId="3CF0E1DB" w14:textId="77777777" w:rsidTr="00CA6B84">
        <w:tc>
          <w:tcPr>
            <w:tcW w:w="1672" w:type="pct"/>
            <w:vAlign w:val="center"/>
            <w:hideMark/>
          </w:tcPr>
          <w:p w14:paraId="31801CF4" w14:textId="77777777" w:rsidR="005E2BFC" w:rsidRPr="00D822D7" w:rsidRDefault="005E2BFC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Рейтинг</w:t>
            </w:r>
          </w:p>
        </w:tc>
        <w:tc>
          <w:tcPr>
            <w:tcW w:w="1956" w:type="pct"/>
            <w:vAlign w:val="center"/>
            <w:hideMark/>
          </w:tcPr>
          <w:p w14:paraId="1AE399A1" w14:textId="77777777" w:rsidR="005E2BFC" w:rsidRPr="00D822D7" w:rsidRDefault="005E2BFC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1372" w:type="pct"/>
            <w:vAlign w:val="center"/>
            <w:hideMark/>
          </w:tcPr>
          <w:p w14:paraId="288978ED" w14:textId="77777777" w:rsidR="005E2BFC" w:rsidRPr="00D822D7" w:rsidRDefault="005E2BFC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5E2BFC" w:rsidRPr="00D822D7" w14:paraId="199F3E62" w14:textId="77777777" w:rsidTr="00CA6B84">
        <w:tc>
          <w:tcPr>
            <w:tcW w:w="1672" w:type="pct"/>
          </w:tcPr>
          <w:p w14:paraId="00156C86" w14:textId="4CA59CD2" w:rsidR="005E2BFC" w:rsidRPr="00D822D7" w:rsidRDefault="000D7619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ситуації, яка існує на цей час.</w:t>
            </w:r>
          </w:p>
        </w:tc>
        <w:tc>
          <w:tcPr>
            <w:tcW w:w="1956" w:type="pct"/>
            <w:hideMark/>
          </w:tcPr>
          <w:p w14:paraId="50F0FB9D" w14:textId="2C5636FD" w:rsidR="005E2BFC" w:rsidRPr="00D822D7" w:rsidRDefault="000D7619" w:rsidP="000D76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Відсутні</w:t>
            </w:r>
          </w:p>
        </w:tc>
        <w:tc>
          <w:tcPr>
            <w:tcW w:w="1372" w:type="pct"/>
            <w:hideMark/>
          </w:tcPr>
          <w:p w14:paraId="47F192F3" w14:textId="36A989CE" w:rsidR="005E2BFC" w:rsidRPr="00D822D7" w:rsidRDefault="0096238A" w:rsidP="00DF15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Відсутність </w:t>
            </w:r>
            <w:r w:rsidR="00DF15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належного правового регулювання питань щодо </w:t>
            </w:r>
            <w:r w:rsidR="00DF158B" w:rsidRPr="0096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розмірів відшкодування збитків, заподіяних державі внаслідок самовільного користування надрами</w:t>
            </w:r>
            <w:r w:rsidR="00DF1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призведе до </w:t>
            </w:r>
            <w:r w:rsidR="00AC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посилення впливу зовнішніх чинників </w:t>
            </w:r>
            <w:r w:rsidR="00AC51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(економічних, соціальних, екологічних) </w:t>
            </w:r>
            <w:r w:rsidR="00AC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довкілля</w:t>
            </w:r>
            <w:r w:rsidR="00DF1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2BFC" w:rsidRPr="00D822D7" w14:paraId="56A07BDA" w14:textId="77777777" w:rsidTr="00CA6B84">
        <w:tc>
          <w:tcPr>
            <w:tcW w:w="1672" w:type="pct"/>
          </w:tcPr>
          <w:p w14:paraId="0D2901BB" w14:textId="6B0CF5FA" w:rsidR="005E2BFC" w:rsidRPr="00D822D7" w:rsidRDefault="00FC57C2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Затвердження наказу </w:t>
            </w:r>
            <w:r w:rsidRPr="0096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Міністерства захисту довкілля та природних ресурсів України «Про затвердження Методики визначення розмірів відшкодування збитків, заподіяних державі внаслідок самовільного користування надрами»</w:t>
            </w:r>
          </w:p>
        </w:tc>
        <w:tc>
          <w:tcPr>
            <w:tcW w:w="1956" w:type="pct"/>
            <w:hideMark/>
          </w:tcPr>
          <w:p w14:paraId="400A6EC0" w14:textId="77777777" w:rsidR="005E2BFC" w:rsidRDefault="005E2BFC" w:rsidP="00580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103EFE8" w14:textId="356E5E3E" w:rsidR="000D7619" w:rsidRDefault="008A537E" w:rsidP="00D50C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Реалізація положень цього наказу сприятиме </w:t>
            </w:r>
            <w:r w:rsidR="00F86F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суттєвому зме</w:t>
            </w:r>
            <w:r w:rsidR="007B60C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F86F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шенню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впливу зовнішніх чинників (економічних, </w:t>
            </w:r>
            <w:r w:rsidR="0096238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соціальних, екологічних) на </w:t>
            </w:r>
            <w:r w:rsidR="00F86F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довкілля</w:t>
            </w:r>
          </w:p>
          <w:p w14:paraId="79342B63" w14:textId="6B477FEF" w:rsidR="000D7619" w:rsidRPr="00D822D7" w:rsidRDefault="000D7619" w:rsidP="00580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72" w:type="pct"/>
            <w:hideMark/>
          </w:tcPr>
          <w:p w14:paraId="6171679A" w14:textId="32104FE9" w:rsidR="005E2BFC" w:rsidRPr="00D822D7" w:rsidRDefault="00580FD7" w:rsidP="00580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Відсутні</w:t>
            </w:r>
          </w:p>
        </w:tc>
      </w:tr>
    </w:tbl>
    <w:p w14:paraId="7EF73C84" w14:textId="77777777" w:rsidR="00CA6B84" w:rsidRPr="00D822D7" w:rsidRDefault="00CA6B84" w:rsidP="001F74B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D99E6B" w14:textId="77777777" w:rsidR="002F5AE9" w:rsidRPr="00D822D7" w:rsidRDefault="002F5AE9" w:rsidP="001A687C">
      <w:pPr>
        <w:spacing w:after="0"/>
        <w:ind w:firstLine="709"/>
        <w:jc w:val="both"/>
        <w:rPr>
          <w:rStyle w:val="rvts15"/>
          <w:rFonts w:ascii="Times New Roman" w:hAnsi="Times New Roman"/>
          <w:b/>
          <w:sz w:val="28"/>
          <w:szCs w:val="28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 w:rsidRPr="00D822D7">
        <w:rPr>
          <w:rStyle w:val="rvts15"/>
          <w:rFonts w:ascii="Times New Roman" w:hAnsi="Times New Roman"/>
          <w:b/>
          <w:sz w:val="28"/>
          <w:szCs w:val="28"/>
        </w:rPr>
        <w:t>Механізми та заходи, які забезпечать розв’язання визначеної проблеми</w:t>
      </w:r>
    </w:p>
    <w:p w14:paraId="1ECC116F" w14:textId="2E01B02F" w:rsidR="0015579B" w:rsidRDefault="0015579B" w:rsidP="00D101BE">
      <w:pPr>
        <w:widowControl w:val="0"/>
        <w:tabs>
          <w:tab w:val="left" w:pos="-3686"/>
          <w:tab w:val="left" w:pos="99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79B">
        <w:rPr>
          <w:rFonts w:ascii="Times New Roman" w:eastAsia="Times New Roman" w:hAnsi="Times New Roman"/>
          <w:sz w:val="28"/>
          <w:szCs w:val="28"/>
          <w:lang w:eastAsia="ru-RU"/>
        </w:rPr>
        <w:t>Механізмом, який забезпечить розв’язання проблеми є прийняття регуляторного акта, що в свою чергу забезпечить:</w:t>
      </w:r>
    </w:p>
    <w:p w14:paraId="115CFF83" w14:textId="29A5B08F" w:rsidR="00D50CC4" w:rsidRPr="00D50CC4" w:rsidRDefault="00D50CC4" w:rsidP="00D101BE">
      <w:pPr>
        <w:pStyle w:val="a3"/>
        <w:ind w:left="0" w:firstLine="709"/>
        <w:jc w:val="both"/>
        <w:rPr>
          <w:sz w:val="28"/>
          <w:szCs w:val="28"/>
        </w:rPr>
      </w:pPr>
      <w:r w:rsidRPr="00D50CC4">
        <w:rPr>
          <w:sz w:val="28"/>
          <w:szCs w:val="28"/>
        </w:rPr>
        <w:t xml:space="preserve">впровадження чіткого механізму визначення виду корисної копалини, що самовільно видобувається; </w:t>
      </w:r>
    </w:p>
    <w:p w14:paraId="7CAB306F" w14:textId="77777777" w:rsidR="00D50CC4" w:rsidRDefault="00D50CC4" w:rsidP="00D101BE">
      <w:pPr>
        <w:pStyle w:val="a3"/>
        <w:ind w:left="0" w:firstLine="709"/>
        <w:jc w:val="both"/>
        <w:rPr>
          <w:sz w:val="28"/>
          <w:szCs w:val="28"/>
        </w:rPr>
      </w:pPr>
      <w:r w:rsidRPr="00D50CC4">
        <w:rPr>
          <w:sz w:val="28"/>
          <w:szCs w:val="28"/>
        </w:rPr>
        <w:t xml:space="preserve">розмежування повноваження органів влади, які уповноважені законом здійснювати розрахунок збитків, заподіяних державі внаслідок самовільного користування надрами (ДЕІ та Держгеонадра), та порядок взаємодії між ними; </w:t>
      </w:r>
    </w:p>
    <w:p w14:paraId="22F85920" w14:textId="0E9EC9AA" w:rsidR="00D50CC4" w:rsidRPr="008A537E" w:rsidRDefault="00D50CC4" w:rsidP="00D101BE">
      <w:pPr>
        <w:pStyle w:val="a3"/>
        <w:ind w:left="0" w:firstLine="709"/>
        <w:jc w:val="both"/>
        <w:rPr>
          <w:sz w:val="28"/>
          <w:szCs w:val="28"/>
        </w:rPr>
      </w:pPr>
      <w:r w:rsidRPr="00D50CC4">
        <w:rPr>
          <w:sz w:val="28"/>
          <w:szCs w:val="28"/>
        </w:rPr>
        <w:t>визначення переліку документів, які можуть містити відомості про об’єм самовільно видобутих корисних копалин; порядку та формули розрахунку розміру збитків, завданих державі внаслідок тимчасової окупації та анексії АР Крим, а також  завданих Україні внаслідок збройної агресії Російської Федерації.</w:t>
      </w:r>
    </w:p>
    <w:p w14:paraId="2351F5A1" w14:textId="77777777" w:rsidR="00275F6F" w:rsidRDefault="007151DE" w:rsidP="00D101B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D50CC4">
        <w:rPr>
          <w:rFonts w:ascii="Times New Roman" w:eastAsia="Times New Roman" w:hAnsi="Times New Roman"/>
          <w:sz w:val="28"/>
          <w:szCs w:val="28"/>
          <w:lang w:eastAsia="ru-RU"/>
        </w:rPr>
        <w:t>впровадження положень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цього регуляторного акта необхідно здійснити такі організаційні заходи: </w:t>
      </w:r>
    </w:p>
    <w:p w14:paraId="5CFD59A4" w14:textId="6C334012" w:rsidR="00275F6F" w:rsidRDefault="009B19BD" w:rsidP="00D101B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прийнят</w:t>
      </w:r>
      <w:r w:rsidR="00275F6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F32" w:rsidRPr="0055037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Закону України </w:t>
      </w:r>
      <w:r w:rsidR="00631662" w:rsidRPr="0055037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3166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31662" w:rsidRPr="00550370">
        <w:rPr>
          <w:rFonts w:ascii="Times New Roman" w:eastAsia="Times New Roman" w:hAnsi="Times New Roman"/>
          <w:sz w:val="28"/>
          <w:szCs w:val="28"/>
          <w:lang w:eastAsia="ru-RU"/>
        </w:rPr>
        <w:t>ро внесення змін до деяких законодавчих актів України щодо удосконалення законодавства у сфері користування надрами</w:t>
      </w:r>
      <w:r w:rsidR="00631662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Pr="00550370">
        <w:rPr>
          <w:rFonts w:ascii="Times New Roman" w:eastAsia="Times New Roman" w:hAnsi="Times New Roman"/>
          <w:sz w:val="28"/>
          <w:szCs w:val="28"/>
          <w:lang w:eastAsia="ru-RU"/>
        </w:rPr>
        <w:t>№ 4187</w:t>
      </w:r>
      <w:r w:rsidR="00275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370">
        <w:rPr>
          <w:rFonts w:ascii="Times New Roman" w:eastAsia="Times New Roman" w:hAnsi="Times New Roman"/>
          <w:sz w:val="28"/>
          <w:szCs w:val="28"/>
          <w:lang w:eastAsia="ru-RU"/>
        </w:rPr>
        <w:t>від 05.10.2020</w:t>
      </w:r>
      <w:r w:rsidR="00631662">
        <w:rPr>
          <w:rFonts w:ascii="Times New Roman" w:eastAsia="Times New Roman" w:hAnsi="Times New Roman"/>
          <w:sz w:val="28"/>
          <w:szCs w:val="28"/>
          <w:lang w:eastAsia="ru-RU"/>
        </w:rPr>
        <w:t>, внесен</w:t>
      </w:r>
      <w:r w:rsidR="009E0177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631662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народними депутатами Якименком П.В., Маріковським О.В. та ін.)</w:t>
      </w:r>
      <w:r w:rsidRPr="00550370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r w:rsidR="00355A3B" w:rsidRPr="00550370">
        <w:rPr>
          <w:rFonts w:ascii="Times New Roman" w:eastAsia="Times New Roman" w:hAnsi="Times New Roman"/>
          <w:sz w:val="28"/>
          <w:szCs w:val="28"/>
          <w:lang w:eastAsia="ru-RU"/>
        </w:rPr>
        <w:t>метою</w:t>
      </w:r>
      <w:r w:rsidRPr="0055037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надання повноважень Держгеонадрам та ДЕІ </w:t>
      </w:r>
      <w:r w:rsidR="00275F6F"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</w:t>
      </w:r>
      <w:r w:rsidRPr="00550370">
        <w:rPr>
          <w:rFonts w:ascii="Times New Roman" w:eastAsia="Times New Roman" w:hAnsi="Times New Roman"/>
          <w:sz w:val="28"/>
          <w:szCs w:val="28"/>
          <w:lang w:eastAsia="ru-RU"/>
        </w:rPr>
        <w:t>здійсн</w:t>
      </w:r>
      <w:r w:rsidR="00275F6F">
        <w:rPr>
          <w:rFonts w:ascii="Times New Roman" w:eastAsia="Times New Roman" w:hAnsi="Times New Roman"/>
          <w:sz w:val="28"/>
          <w:szCs w:val="28"/>
          <w:lang w:eastAsia="ru-RU"/>
        </w:rPr>
        <w:t>ення</w:t>
      </w:r>
      <w:r w:rsidRPr="00550370">
        <w:rPr>
          <w:rFonts w:ascii="Times New Roman" w:eastAsia="Times New Roman" w:hAnsi="Times New Roman"/>
          <w:sz w:val="28"/>
          <w:szCs w:val="28"/>
          <w:lang w:eastAsia="ru-RU"/>
        </w:rPr>
        <w:t xml:space="preserve"> розрахун</w:t>
      </w:r>
      <w:r w:rsidR="00275F6F"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r w:rsidRPr="00550370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розміру збитків</w:t>
      </w:r>
      <w:r w:rsidR="00275F6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9F39B02" w14:textId="241A9575" w:rsidR="00275F6F" w:rsidRDefault="007151DE" w:rsidP="00D101B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забезпечити інформування громадськості про вимоги </w:t>
      </w:r>
      <w:r w:rsidR="00275F6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прийнятого наказу 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шляхом його оприлюднення в мережі Інтернет – на офіційн</w:t>
      </w:r>
      <w:r w:rsidR="00C4145D" w:rsidRPr="00D822D7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веб-сайт</w:t>
      </w:r>
      <w:r w:rsidR="00C4145D" w:rsidRPr="00D822D7">
        <w:rPr>
          <w:rFonts w:ascii="Times New Roman" w:eastAsia="Times New Roman" w:hAnsi="Times New Roman"/>
          <w:sz w:val="28"/>
          <w:szCs w:val="28"/>
          <w:lang w:eastAsia="ru-RU"/>
        </w:rPr>
        <w:t>ах Державної служби геології та надр України і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Міністерства</w:t>
      </w:r>
      <w:r w:rsidR="00A14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ADB" w:rsidRPr="00A14ADB">
        <w:rPr>
          <w:rFonts w:ascii="Times New Roman" w:hAnsi="Times New Roman"/>
          <w:sz w:val="28"/>
          <w:szCs w:val="28"/>
          <w:lang w:eastAsia="x-none"/>
        </w:rPr>
        <w:t>захисту довкілля та природних ресурсів України</w:t>
      </w:r>
      <w:r w:rsidR="00C04B13" w:rsidRPr="00A14AD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04B13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D921361" w14:textId="5795DA32" w:rsidR="007151DE" w:rsidRPr="00D822D7" w:rsidRDefault="00C04B13" w:rsidP="00D101BE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після прийняття та реєстрації </w:t>
      </w:r>
      <w:r w:rsidR="00275F6F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наказу 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у Мінюсті України провести навчання для посадових осіб органів державного геологічного контролю з метою роз’яснення положень прийнятого </w:t>
      </w:r>
      <w:r w:rsidR="009E0177">
        <w:rPr>
          <w:rFonts w:ascii="Times New Roman" w:eastAsia="Times New Roman" w:hAnsi="Times New Roman"/>
          <w:sz w:val="28"/>
          <w:szCs w:val="28"/>
          <w:lang w:eastAsia="ru-RU"/>
        </w:rPr>
        <w:t>наказу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5"/>
    <w:p w14:paraId="37FE2C08" w14:textId="77777777" w:rsidR="00C04B13" w:rsidRPr="00D822D7" w:rsidRDefault="00C04B13" w:rsidP="001A687C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EC06CC" w14:textId="77777777" w:rsidR="00C04B13" w:rsidRPr="00D822D7" w:rsidRDefault="00C04B13" w:rsidP="001A687C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7151DE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D822D7">
        <w:rPr>
          <w:rStyle w:val="rvts15"/>
          <w:rFonts w:ascii="Times New Roman" w:hAnsi="Times New Roman"/>
          <w:b/>
          <w:sz w:val="28"/>
          <w:szCs w:val="28"/>
        </w:rPr>
        <w:t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75CD9C6B" w14:textId="27606987" w:rsidR="00C04B13" w:rsidRPr="00D822D7" w:rsidRDefault="00C04B13" w:rsidP="001D18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Виконання вимог регуляторного акта не потребуватиме </w:t>
      </w:r>
      <w:r w:rsidR="008A537E"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додаткових 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витрат від органів виконавчої влади, органів місцевого самоврядування, суб’єктів господарювання, фізичних та юридичних осіб.</w:t>
      </w:r>
    </w:p>
    <w:p w14:paraId="6BF6ACAE" w14:textId="77777777" w:rsidR="007151DE" w:rsidRPr="00D822D7" w:rsidRDefault="007151DE" w:rsidP="001A687C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4B7A22" w14:textId="77777777" w:rsidR="00D03721" w:rsidRPr="00D822D7" w:rsidRDefault="00D03721" w:rsidP="001A687C">
      <w:pPr>
        <w:spacing w:after="0"/>
        <w:ind w:firstLine="709"/>
        <w:jc w:val="both"/>
        <w:rPr>
          <w:rStyle w:val="rvts15"/>
          <w:rFonts w:ascii="Times New Roman" w:hAnsi="Times New Roman"/>
          <w:sz w:val="28"/>
          <w:szCs w:val="28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 w:rsidRPr="00D822D7">
        <w:rPr>
          <w:rStyle w:val="rvts15"/>
          <w:rFonts w:ascii="Times New Roman" w:hAnsi="Times New Roman"/>
          <w:b/>
          <w:sz w:val="28"/>
          <w:szCs w:val="28"/>
        </w:rPr>
        <w:t>Обґрунтування запропонованого строку дії регуляторного акта</w:t>
      </w:r>
    </w:p>
    <w:p w14:paraId="77994BFB" w14:textId="77777777" w:rsidR="00310134" w:rsidRPr="00D822D7" w:rsidRDefault="00310134" w:rsidP="00865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hAnsi="Times New Roman"/>
          <w:sz w:val="28"/>
          <w:szCs w:val="28"/>
        </w:rPr>
        <w:t>Акт набирає чинності з дня його офіційного опублікування.</w:t>
      </w:r>
    </w:p>
    <w:p w14:paraId="42BA4CE8" w14:textId="7AB7D1CC" w:rsidR="0004574D" w:rsidRDefault="007151DE" w:rsidP="00AC51C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 дії цього регуляторного акта </w:t>
      </w:r>
      <w:r w:rsidR="00B7119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97D4E" w:rsidRPr="007840E6">
        <w:rPr>
          <w:rFonts w:ascii="Times New Roman" w:eastAsia="Times New Roman" w:hAnsi="Times New Roman"/>
          <w:sz w:val="28"/>
          <w:szCs w:val="28"/>
          <w:lang w:eastAsia="ru-RU"/>
        </w:rPr>
        <w:t>необмежений</w:t>
      </w:r>
      <w:r w:rsidR="00B7119B" w:rsidRPr="007840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EED3A93" w14:textId="77777777" w:rsidR="00B7119B" w:rsidRPr="00D822D7" w:rsidRDefault="00B7119B" w:rsidP="00AC51C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EB768" w14:textId="77777777" w:rsidR="007151DE" w:rsidRPr="00D822D7" w:rsidRDefault="007151DE" w:rsidP="001A687C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8. Визначення показників результативності регуляторного акта.</w:t>
      </w:r>
    </w:p>
    <w:p w14:paraId="486EEA2C" w14:textId="77777777" w:rsidR="007151DE" w:rsidRDefault="007151DE" w:rsidP="00865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Виходячи з цілей запропонованого регуляторного акта, зазначених у пункті 2, для відстеження результативності цього регуляторного акта обрані такі показники: </w:t>
      </w:r>
    </w:p>
    <w:p w14:paraId="5EB4B9C2" w14:textId="0D96A1CE" w:rsidR="0056696A" w:rsidRPr="007840E6" w:rsidRDefault="0056696A" w:rsidP="00865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0E6">
        <w:rPr>
          <w:rFonts w:ascii="Times New Roman" w:eastAsia="Times New Roman" w:hAnsi="Times New Roman"/>
          <w:sz w:val="28"/>
          <w:szCs w:val="28"/>
          <w:lang w:eastAsia="ru-RU"/>
        </w:rPr>
        <w:t>1) кількість суб'єктів господарювання надрокористувачів, на яких поширюється дія акта – 2016;</w:t>
      </w:r>
    </w:p>
    <w:p w14:paraId="621A6835" w14:textId="0E11851C" w:rsidR="007151DE" w:rsidRPr="007840E6" w:rsidRDefault="0056696A" w:rsidP="00865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0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151DE" w:rsidRPr="007840E6">
        <w:rPr>
          <w:rFonts w:ascii="Times New Roman" w:eastAsia="Times New Roman" w:hAnsi="Times New Roman"/>
          <w:sz w:val="28"/>
          <w:szCs w:val="28"/>
          <w:lang w:eastAsia="ru-RU"/>
        </w:rPr>
        <w:t>) розмір коштів і час, що витрачатимуться суб'єктами господарювання та/або фізичними особами, пов'язаними з виконанням вимог акта –</w:t>
      </w:r>
      <w:r w:rsidR="0096238A" w:rsidRPr="007840E6">
        <w:rPr>
          <w:rFonts w:ascii="Times New Roman" w:eastAsia="Times New Roman" w:hAnsi="Times New Roman"/>
          <w:sz w:val="28"/>
          <w:szCs w:val="28"/>
          <w:lang w:eastAsia="ru-RU"/>
        </w:rPr>
        <w:t>скорочується</w:t>
      </w:r>
      <w:r w:rsidR="007151DE" w:rsidRPr="007840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BD5B501" w14:textId="77777777" w:rsidR="00A06C26" w:rsidRPr="007840E6" w:rsidRDefault="0090659C" w:rsidP="00A06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0E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C7917" w:rsidRPr="007840E6">
        <w:rPr>
          <w:rFonts w:ascii="Times New Roman" w:eastAsia="Times New Roman" w:hAnsi="Times New Roman"/>
          <w:sz w:val="28"/>
          <w:szCs w:val="28"/>
          <w:lang w:eastAsia="ru-RU"/>
        </w:rPr>
        <w:t>) розмір надходжень</w:t>
      </w:r>
      <w:r w:rsidRPr="007840E6">
        <w:rPr>
          <w:rFonts w:ascii="Times New Roman" w:eastAsia="Times New Roman" w:hAnsi="Times New Roman"/>
          <w:sz w:val="28"/>
          <w:szCs w:val="28"/>
          <w:lang w:eastAsia="ru-RU"/>
        </w:rPr>
        <w:t xml:space="preserve"> до Державного та місцевих бюджетів, - збі</w:t>
      </w:r>
      <w:r w:rsidR="001D180C" w:rsidRPr="007840E6">
        <w:rPr>
          <w:rFonts w:ascii="Times New Roman" w:eastAsia="Times New Roman" w:hAnsi="Times New Roman"/>
          <w:sz w:val="28"/>
          <w:szCs w:val="28"/>
          <w:lang w:eastAsia="ru-RU"/>
        </w:rPr>
        <w:t xml:space="preserve">льшується за </w:t>
      </w:r>
      <w:r w:rsidR="00A06C26" w:rsidRPr="007840E6">
        <w:rPr>
          <w:rFonts w:ascii="Times New Roman" w:eastAsia="Times New Roman" w:hAnsi="Times New Roman"/>
          <w:sz w:val="28"/>
          <w:szCs w:val="28"/>
          <w:lang w:eastAsia="ru-RU"/>
        </w:rPr>
        <w:t>рахунок:</w:t>
      </w:r>
    </w:p>
    <w:p w14:paraId="3BF8E855" w14:textId="3259008B" w:rsidR="00A06C26" w:rsidRPr="007840E6" w:rsidRDefault="00F375E4" w:rsidP="00A06C2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7840E6">
        <w:rPr>
          <w:rFonts w:ascii="Times New Roman" w:eastAsia="Times New Roman" w:hAnsi="Times New Roman"/>
          <w:sz w:val="28"/>
          <w:szCs w:val="28"/>
          <w:lang w:eastAsia="ru-RU"/>
        </w:rPr>
        <w:t>впровадження чіткого механізму</w:t>
      </w:r>
      <w:r w:rsidR="00A06C26" w:rsidRPr="007840E6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визначення </w:t>
      </w:r>
      <w:r w:rsidR="00A06C26" w:rsidRPr="007840E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вартості корисної копалини; </w:t>
      </w:r>
    </w:p>
    <w:p w14:paraId="12EADD30" w14:textId="1561684C" w:rsidR="00A06C26" w:rsidRPr="007840E6" w:rsidRDefault="00A06C26" w:rsidP="00A06C2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7840E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вдосконалення</w:t>
      </w:r>
      <w:r w:rsidR="00F375E4" w:rsidRPr="007840E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механізму</w:t>
      </w:r>
      <w:r w:rsidRPr="007840E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отримання коштів рентної плати за користування надрами та інших обов’язкових платежів;</w:t>
      </w:r>
    </w:p>
    <w:p w14:paraId="6EDECFB8" w14:textId="77777777" w:rsidR="00A06C26" w:rsidRPr="007840E6" w:rsidRDefault="00A06C26" w:rsidP="00A06C2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7840E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зменшення витрат держави на рекультивацію ділянки надр, порушених внаслідок незаконного видобування корисних копалин;</w:t>
      </w:r>
    </w:p>
    <w:p w14:paraId="76F5488A" w14:textId="77777777" w:rsidR="00A06C26" w:rsidRPr="007840E6" w:rsidRDefault="00A06C26" w:rsidP="00A06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0E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зменшення вартості адміністрування встановлення факту самовільного користування надрами.</w:t>
      </w:r>
    </w:p>
    <w:p w14:paraId="4CCC01B5" w14:textId="549EAD14" w:rsidR="00A06C26" w:rsidRPr="007840E6" w:rsidRDefault="009B38A2" w:rsidP="00A06C26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840E6">
        <w:rPr>
          <w:sz w:val="28"/>
          <w:szCs w:val="28"/>
        </w:rPr>
        <w:t xml:space="preserve">кількість </w:t>
      </w:r>
      <w:r w:rsidR="00CA6B84" w:rsidRPr="007840E6">
        <w:rPr>
          <w:sz w:val="28"/>
          <w:szCs w:val="28"/>
        </w:rPr>
        <w:t>випадків</w:t>
      </w:r>
      <w:r w:rsidR="0096238A" w:rsidRPr="007840E6">
        <w:rPr>
          <w:sz w:val="28"/>
          <w:szCs w:val="28"/>
        </w:rPr>
        <w:t xml:space="preserve"> самовільного користування надрами </w:t>
      </w:r>
      <w:r w:rsidRPr="007840E6">
        <w:rPr>
          <w:sz w:val="28"/>
          <w:szCs w:val="28"/>
        </w:rPr>
        <w:t>– скорочується</w:t>
      </w:r>
      <w:r w:rsidR="007151DE" w:rsidRPr="007840E6">
        <w:rPr>
          <w:sz w:val="28"/>
          <w:szCs w:val="28"/>
        </w:rPr>
        <w:t>;</w:t>
      </w:r>
    </w:p>
    <w:p w14:paraId="6662B71F" w14:textId="54EAE2AE" w:rsidR="00A06C26" w:rsidRPr="007840E6" w:rsidRDefault="00A06C26" w:rsidP="00A06C26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840E6">
        <w:rPr>
          <w:sz w:val="28"/>
          <w:szCs w:val="28"/>
        </w:rPr>
        <w:t xml:space="preserve">рівень взаємодії між центральними органами виконавчої влади та правоохоронними органами, до компетенції яких належить </w:t>
      </w:r>
      <w:r w:rsidRPr="007840E6">
        <w:rPr>
          <w:bCs/>
          <w:sz w:val="28"/>
          <w:szCs w:val="28"/>
          <w:lang w:eastAsia="x-none"/>
        </w:rPr>
        <w:t xml:space="preserve">визначення розмірів відшкодування збитків, заподіяних державі внаслідок самовільного користування надрами, збільшується за рахунок чіткого розмежування </w:t>
      </w:r>
      <w:r w:rsidR="00F375E4" w:rsidRPr="007840E6">
        <w:rPr>
          <w:bCs/>
          <w:sz w:val="28"/>
          <w:szCs w:val="28"/>
          <w:lang w:eastAsia="x-none"/>
        </w:rPr>
        <w:t xml:space="preserve">їх </w:t>
      </w:r>
      <w:r w:rsidRPr="007840E6">
        <w:rPr>
          <w:bCs/>
          <w:sz w:val="28"/>
          <w:szCs w:val="28"/>
          <w:lang w:eastAsia="x-none"/>
        </w:rPr>
        <w:t>повноважень.</w:t>
      </w:r>
    </w:p>
    <w:p w14:paraId="28E7277E" w14:textId="5C6309BF" w:rsidR="007151DE" w:rsidRDefault="00A06C26" w:rsidP="00865E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7840E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151DE" w:rsidRPr="007840E6">
        <w:rPr>
          <w:rFonts w:ascii="Times New Roman" w:eastAsia="Times New Roman" w:hAnsi="Times New Roman"/>
          <w:sz w:val="28"/>
          <w:szCs w:val="28"/>
          <w:lang w:eastAsia="ru-RU"/>
        </w:rPr>
        <w:t>) рівень поінформованості суб'єктів господарювання та/або фізичних осіб з о</w:t>
      </w:r>
      <w:r w:rsidR="0056696A" w:rsidRPr="007840E6">
        <w:rPr>
          <w:rFonts w:ascii="Times New Roman" w:eastAsia="Times New Roman" w:hAnsi="Times New Roman"/>
          <w:sz w:val="28"/>
          <w:szCs w:val="28"/>
          <w:lang w:eastAsia="ru-RU"/>
        </w:rPr>
        <w:t>сновних положень акта – високий</w:t>
      </w:r>
      <w:r w:rsidR="007151DE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рівень, оскільки проект </w:t>
      </w:r>
      <w:r w:rsidR="002E6061"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r w:rsidR="007151DE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ADB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 </w:t>
      </w:r>
      <w:r w:rsidR="007151DE" w:rsidRPr="00D822D7">
        <w:rPr>
          <w:rFonts w:ascii="Times New Roman" w:eastAsia="Times New Roman" w:hAnsi="Times New Roman"/>
          <w:sz w:val="28"/>
          <w:szCs w:val="28"/>
          <w:lang w:eastAsia="ru-RU"/>
        </w:rPr>
        <w:t>розміщено на офіційн</w:t>
      </w:r>
      <w:r w:rsidR="00C4145D" w:rsidRPr="00D822D7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7151DE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веб-сайт</w:t>
      </w:r>
      <w:r w:rsidR="00C4145D" w:rsidRPr="00D822D7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7151DE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145D" w:rsidRPr="00D822D7">
        <w:rPr>
          <w:rFonts w:ascii="Times New Roman" w:eastAsia="Times New Roman" w:hAnsi="Times New Roman"/>
          <w:sz w:val="28"/>
          <w:szCs w:val="28"/>
          <w:lang w:eastAsia="ru-RU"/>
        </w:rPr>
        <w:t>Державної с</w:t>
      </w:r>
      <w:r w:rsidR="009A13F0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лужби геології та надр України </w:t>
      </w:r>
      <w:r w:rsidR="00C4145D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і </w:t>
      </w:r>
      <w:r w:rsidR="00A14ADB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Міністерства </w:t>
      </w:r>
      <w:r w:rsidR="00A14ADB" w:rsidRPr="00A14ADB">
        <w:rPr>
          <w:rFonts w:ascii="Times New Roman" w:hAnsi="Times New Roman"/>
          <w:sz w:val="28"/>
          <w:szCs w:val="28"/>
          <w:lang w:eastAsia="x-none"/>
        </w:rPr>
        <w:t>захисту довкілля та природних ресурсів України</w:t>
      </w:r>
      <w:r w:rsidR="0026215C">
        <w:rPr>
          <w:rFonts w:ascii="Times New Roman" w:hAnsi="Times New Roman"/>
          <w:sz w:val="28"/>
          <w:szCs w:val="28"/>
          <w:lang w:eastAsia="x-none"/>
        </w:rPr>
        <w:t>.</w:t>
      </w:r>
    </w:p>
    <w:p w14:paraId="14EC38C7" w14:textId="77777777" w:rsidR="00093377" w:rsidRPr="00A14ADB" w:rsidRDefault="00093377" w:rsidP="00865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E2C74B" w14:textId="77777777" w:rsidR="007151DE" w:rsidRPr="00D822D7" w:rsidRDefault="007151DE" w:rsidP="001A6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045CC5" w14:textId="77777777" w:rsidR="00D6364A" w:rsidRPr="00D822D7" w:rsidRDefault="007151DE" w:rsidP="001A687C">
      <w:pPr>
        <w:spacing w:after="0"/>
        <w:ind w:firstLine="709"/>
        <w:jc w:val="both"/>
        <w:rPr>
          <w:rStyle w:val="rvts15"/>
          <w:rFonts w:ascii="Times New Roman" w:hAnsi="Times New Roman"/>
          <w:b/>
          <w:sz w:val="28"/>
          <w:szCs w:val="28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9. </w:t>
      </w:r>
      <w:r w:rsidR="00D6364A" w:rsidRPr="00D822D7">
        <w:rPr>
          <w:rStyle w:val="rvts15"/>
          <w:rFonts w:ascii="Times New Roman" w:hAnsi="Times New Roman"/>
          <w:b/>
          <w:sz w:val="28"/>
          <w:szCs w:val="28"/>
        </w:rPr>
        <w:t>Визначення заходів, за допомогою яких здійснюватиметься відстеження результативності дії регуляторного акта</w:t>
      </w:r>
    </w:p>
    <w:p w14:paraId="504027FD" w14:textId="77777777" w:rsidR="00D938C8" w:rsidRPr="00D938C8" w:rsidRDefault="00D938C8" w:rsidP="00D101B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 xml:space="preserve">Відстеження результативності регуляторного акта здійснюватиметься шляхом проведення базового, повторного та періодичного відстежень статистичних показників результативності акта, визначених під час проведення аналізу впливу регуляторного акта. </w:t>
      </w:r>
    </w:p>
    <w:p w14:paraId="484AFD6F" w14:textId="77777777" w:rsidR="00D938C8" w:rsidRPr="00D938C8" w:rsidRDefault="00D938C8" w:rsidP="00D101B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Базове відстеження результативності цього регуляторного акта здійснюватиметься після набрання ним чинності, оскільки для цього використовуватимуться виключно статистичні показники, але не пізніше дня, з якого починається проведення повторного відстеження результативності цього акта.</w:t>
      </w:r>
    </w:p>
    <w:p w14:paraId="7FE97412" w14:textId="77777777" w:rsidR="00D938C8" w:rsidRPr="00D938C8" w:rsidRDefault="00D938C8" w:rsidP="00D101B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Повторне відстеження результативності цього регуляторного акта здійснюватиметься через рік з дня набрання чинності цим регуляторним актом, але не пізніше двох років з дня набрання чинності цим актом. За результатами даного відстеження відбудеться порівняння показників базового та повторного відстеження.</w:t>
      </w:r>
    </w:p>
    <w:p w14:paraId="3A16D432" w14:textId="77777777" w:rsidR="00D938C8" w:rsidRPr="00D938C8" w:rsidRDefault="00D938C8" w:rsidP="00D101B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Періодичне відстеження результативності цього регуляторного акта буде здійснюватися один раз на кожні три роки починаючи з дня закінчення заходів з повторного відстеження результативності цього акта.</w:t>
      </w:r>
    </w:p>
    <w:p w14:paraId="18D74D2C" w14:textId="77777777" w:rsidR="00D938C8" w:rsidRPr="00D938C8" w:rsidRDefault="00D938C8" w:rsidP="00D101B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14:paraId="03838177" w14:textId="28927C2E" w:rsidR="007151DE" w:rsidRDefault="00D938C8" w:rsidP="00D101B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Відстеження результативності регуляторного акта буде здійснювати Державн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 xml:space="preserve"> геології та надр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раїни шляхом розгляду пропозицій та зауважень, які надійдуть до н</w:t>
      </w:r>
      <w:r w:rsidR="00DD2CAE">
        <w:rPr>
          <w:rFonts w:ascii="Times New Roman" w:eastAsia="Times New Roman" w:hAnsi="Times New Roman"/>
          <w:sz w:val="28"/>
          <w:szCs w:val="28"/>
          <w:lang w:eastAsia="ru-RU"/>
        </w:rPr>
        <w:t>еї</w:t>
      </w:r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B3FE8A" w14:textId="77777777" w:rsidR="00D938C8" w:rsidRPr="00AC51C7" w:rsidRDefault="00D938C8" w:rsidP="00D938C8">
      <w:pPr>
        <w:spacing w:after="0"/>
        <w:ind w:firstLine="851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670A5D03" w14:textId="77777777" w:rsidR="007151DE" w:rsidRPr="00D822D7" w:rsidRDefault="007151DE" w:rsidP="001A6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9F316E" w14:textId="77777777" w:rsidR="002A7290" w:rsidRPr="00D822D7" w:rsidRDefault="009E0089" w:rsidP="001A687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Голова</w:t>
      </w:r>
      <w:r w:rsidR="00954EC6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A7290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Державної служби </w:t>
      </w:r>
    </w:p>
    <w:p w14:paraId="5D380DAB" w14:textId="22C40443" w:rsidR="007151DE" w:rsidRPr="00D822D7" w:rsidRDefault="002A7290" w:rsidP="001A6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геології та надр України</w:t>
      </w:r>
      <w:r w:rsidR="009E00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E00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E00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E00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E00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E00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Р</w:t>
      </w:r>
      <w:r w:rsidR="00123F43">
        <w:rPr>
          <w:rFonts w:ascii="Times New Roman" w:eastAsia="Times New Roman" w:hAnsi="Times New Roman"/>
          <w:b/>
          <w:sz w:val="28"/>
          <w:szCs w:val="28"/>
          <w:lang w:eastAsia="ru-RU"/>
        </w:rPr>
        <w:t>оман ОПІМАХ</w:t>
      </w:r>
      <w:r w:rsidR="00954EC6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A71489D" w14:textId="77777777" w:rsidR="0086771C" w:rsidRPr="00AC51C7" w:rsidRDefault="0086771C" w:rsidP="001A687C">
      <w:pPr>
        <w:spacing w:after="0"/>
        <w:rPr>
          <w:rFonts w:ascii="Times New Roman" w:hAnsi="Times New Roman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597"/>
      </w:tblGrid>
      <w:tr w:rsidR="00444ACF" w:rsidRPr="00D822D7" w14:paraId="7C1BF527" w14:textId="77777777" w:rsidTr="00BA7F01">
        <w:tc>
          <w:tcPr>
            <w:tcW w:w="4785" w:type="dxa"/>
            <w:shd w:val="clear" w:color="auto" w:fill="auto"/>
          </w:tcPr>
          <w:p w14:paraId="76FB93A9" w14:textId="24932E64" w:rsidR="00444ACF" w:rsidRPr="00D822D7" w:rsidRDefault="009E0089" w:rsidP="001A687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«______»________________2</w:t>
            </w:r>
            <w:r w:rsidR="009E5BFF">
              <w:rPr>
                <w:rFonts w:ascii="Times New Roman" w:hAnsi="Times New Roman"/>
                <w:b/>
                <w:sz w:val="28"/>
                <w:szCs w:val="28"/>
              </w:rPr>
              <w:t>022</w:t>
            </w:r>
            <w:r w:rsidR="00444ACF" w:rsidRPr="00D822D7">
              <w:rPr>
                <w:rFonts w:ascii="Times New Roman" w:hAnsi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4786" w:type="dxa"/>
            <w:shd w:val="clear" w:color="auto" w:fill="auto"/>
          </w:tcPr>
          <w:p w14:paraId="2C5CB86D" w14:textId="77777777" w:rsidR="00444ACF" w:rsidRPr="00D822D7" w:rsidRDefault="00444ACF" w:rsidP="001A687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798C4EA" w14:textId="77777777" w:rsidR="00444ACF" w:rsidRDefault="00444ACF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340A2478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0425D9ED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3B2613C4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3ED128A9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7911A8CB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358565F0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59A47B22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1614A41E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30E8C16E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6C516B14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0A85E178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4D276E2B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7CBA3C96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0FB345F3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6B8F2DB4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6ED93598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1DE9F4F1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33668A9B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7FE039F7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581CBAE1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613A3735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1164D48F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643B1F6E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4B31A29D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4A385134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6D900E81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4A896A2B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p w14:paraId="14BABE7A" w14:textId="77777777" w:rsidR="00605BE1" w:rsidRDefault="00605BE1" w:rsidP="001A687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4649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9"/>
      </w:tblGrid>
      <w:tr w:rsidR="00605BE1" w:rsidRPr="004019FD" w14:paraId="1DB1CED2" w14:textId="77777777" w:rsidTr="00050F3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171BB9C1" w14:textId="17AD93FF" w:rsidR="00605BE1" w:rsidRPr="004019FD" w:rsidRDefault="00605BE1" w:rsidP="00605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58207C" w14:textId="77777777" w:rsidR="00605BE1" w:rsidRPr="004019FD" w:rsidRDefault="00605BE1" w:rsidP="00605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5BE1" w:rsidRPr="00605BE1" w14:paraId="208EA91B" w14:textId="77777777" w:rsidTr="00605BE1">
        <w:tc>
          <w:tcPr>
            <w:tcW w:w="4672" w:type="dxa"/>
          </w:tcPr>
          <w:p w14:paraId="1643D403" w14:textId="77777777" w:rsidR="00605BE1" w:rsidRPr="00605BE1" w:rsidRDefault="00605BE1" w:rsidP="00605B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43294025" w14:textId="1BFA263C" w:rsidR="00605BE1" w:rsidRPr="00605BE1" w:rsidRDefault="00605BE1" w:rsidP="00605B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5BE1">
              <w:rPr>
                <w:rFonts w:ascii="Times New Roman" w:hAnsi="Times New Roman"/>
                <w:b/>
                <w:sz w:val="28"/>
                <w:szCs w:val="28"/>
              </w:rPr>
              <w:t>Додаток до аналізу регуляторного впливу до проекту наказу</w:t>
            </w:r>
          </w:p>
        </w:tc>
      </w:tr>
    </w:tbl>
    <w:p w14:paraId="54E318DA" w14:textId="77777777" w:rsidR="00605BE1" w:rsidRPr="004019FD" w:rsidRDefault="00605BE1" w:rsidP="00605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3D3AF0" w14:textId="77777777" w:rsidR="00605BE1" w:rsidRPr="00605BE1" w:rsidRDefault="00605BE1" w:rsidP="00605B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BE1">
        <w:rPr>
          <w:rFonts w:ascii="Times New Roman" w:hAnsi="Times New Roman"/>
          <w:b/>
          <w:sz w:val="28"/>
          <w:szCs w:val="28"/>
        </w:rPr>
        <w:t>ТЕСТ</w:t>
      </w:r>
    </w:p>
    <w:p w14:paraId="730AD78F" w14:textId="77777777" w:rsidR="00605BE1" w:rsidRPr="00605BE1" w:rsidRDefault="00605BE1" w:rsidP="00605B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BE1">
        <w:rPr>
          <w:rFonts w:ascii="Times New Roman" w:hAnsi="Times New Roman"/>
          <w:b/>
          <w:sz w:val="28"/>
          <w:szCs w:val="28"/>
        </w:rPr>
        <w:t>малого підприємництва (М-Тест)</w:t>
      </w:r>
    </w:p>
    <w:p w14:paraId="01FC8901" w14:textId="77777777" w:rsidR="00605BE1" w:rsidRPr="004019FD" w:rsidRDefault="00605BE1" w:rsidP="00605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20AF2C" w14:textId="77777777" w:rsidR="00605BE1" w:rsidRPr="004019FD" w:rsidRDefault="00605BE1" w:rsidP="00605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9FD">
        <w:rPr>
          <w:rFonts w:ascii="Times New Roman" w:hAnsi="Times New Roman"/>
          <w:sz w:val="24"/>
          <w:szCs w:val="24"/>
        </w:rPr>
        <w:t>1. Консультації з представниками мікро- та малого підприємництва щодо оцінки впливу регулювання</w:t>
      </w:r>
    </w:p>
    <w:p w14:paraId="10ED1397" w14:textId="77777777" w:rsidR="00605BE1" w:rsidRPr="004019FD" w:rsidRDefault="00605BE1" w:rsidP="00605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1541D9" w14:textId="77777777" w:rsidR="00605BE1" w:rsidRPr="004019FD" w:rsidRDefault="00605BE1" w:rsidP="00605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розробки прое</w:t>
      </w:r>
      <w:r w:rsidRPr="00FC3415">
        <w:rPr>
          <w:rFonts w:ascii="Times New Roman" w:hAnsi="Times New Roman"/>
          <w:sz w:val="24"/>
          <w:szCs w:val="24"/>
        </w:rPr>
        <w:t>кту акта Держгеонадрами проведено консультації з</w:t>
      </w:r>
      <w:r>
        <w:rPr>
          <w:rFonts w:ascii="Times New Roman" w:hAnsi="Times New Roman"/>
          <w:sz w:val="24"/>
          <w:szCs w:val="24"/>
        </w:rPr>
        <w:t xml:space="preserve"> суб'єктами-господарювання-надрокористувачами, а також</w:t>
      </w:r>
      <w:r w:rsidRPr="00FC3415">
        <w:rPr>
          <w:rFonts w:ascii="Times New Roman" w:hAnsi="Times New Roman"/>
          <w:sz w:val="24"/>
          <w:szCs w:val="24"/>
        </w:rPr>
        <w:t xml:space="preserve"> спеціалізованими геологічними підприємствами, установами, організаціями, які належать до сфери управління Де</w:t>
      </w:r>
      <w:r>
        <w:rPr>
          <w:rFonts w:ascii="Times New Roman" w:hAnsi="Times New Roman"/>
          <w:sz w:val="24"/>
          <w:szCs w:val="24"/>
        </w:rPr>
        <w:t>ржгеонадр у період з 2020 по 2022 роки.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685"/>
        <w:gridCol w:w="2127"/>
        <w:gridCol w:w="2409"/>
      </w:tblGrid>
      <w:tr w:rsidR="00605BE1" w:rsidRPr="004019FD" w14:paraId="19695BC3" w14:textId="77777777" w:rsidTr="00050F36">
        <w:tc>
          <w:tcPr>
            <w:tcW w:w="1526" w:type="dxa"/>
            <w:vAlign w:val="center"/>
          </w:tcPr>
          <w:p w14:paraId="348C124D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3685" w:type="dxa"/>
            <w:vAlign w:val="center"/>
          </w:tcPr>
          <w:p w14:paraId="7CA6E02C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2127" w:type="dxa"/>
            <w:vAlign w:val="center"/>
          </w:tcPr>
          <w:p w14:paraId="28F2EDC6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Кількість учасників консультацій, осіб</w:t>
            </w:r>
          </w:p>
        </w:tc>
        <w:tc>
          <w:tcPr>
            <w:tcW w:w="2409" w:type="dxa"/>
            <w:vAlign w:val="center"/>
          </w:tcPr>
          <w:p w14:paraId="0A988D17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Основні результати консультацій (опис)</w:t>
            </w:r>
          </w:p>
        </w:tc>
      </w:tr>
      <w:tr w:rsidR="00605BE1" w:rsidRPr="004019FD" w14:paraId="36F27508" w14:textId="77777777" w:rsidTr="00050F36">
        <w:tc>
          <w:tcPr>
            <w:tcW w:w="1526" w:type="dxa"/>
          </w:tcPr>
          <w:p w14:paraId="79F2085A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5374D98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Робочі зустрічі, інтернет-консультації, наради</w:t>
            </w:r>
          </w:p>
        </w:tc>
        <w:tc>
          <w:tcPr>
            <w:tcW w:w="2127" w:type="dxa"/>
          </w:tcPr>
          <w:p w14:paraId="45A8A572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60-80</w:t>
            </w:r>
          </w:p>
        </w:tc>
        <w:tc>
          <w:tcPr>
            <w:tcW w:w="2409" w:type="dxa"/>
          </w:tcPr>
          <w:p w14:paraId="71DFEF76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Більшість пропозицій, наданих під час консультацій, враховано у проекті наказу Міндовкілля.</w:t>
            </w:r>
          </w:p>
        </w:tc>
      </w:tr>
    </w:tbl>
    <w:p w14:paraId="0E8094CB" w14:textId="77777777" w:rsidR="00605BE1" w:rsidRPr="004019FD" w:rsidRDefault="00605BE1" w:rsidP="0060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8DDE6" w14:textId="77777777" w:rsidR="00605BE1" w:rsidRPr="004019FD" w:rsidRDefault="00605BE1" w:rsidP="00605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9FD">
        <w:rPr>
          <w:rFonts w:ascii="Times New Roman" w:hAnsi="Times New Roman"/>
          <w:sz w:val="24"/>
          <w:szCs w:val="24"/>
        </w:rPr>
        <w:t xml:space="preserve">2. Вимірювання впливу регулювання на суб’єктів малого підприємництва (мікро- </w:t>
      </w:r>
      <w:r w:rsidRPr="004019FD">
        <w:rPr>
          <w:rFonts w:ascii="Times New Roman" w:hAnsi="Times New Roman"/>
          <w:sz w:val="24"/>
          <w:szCs w:val="24"/>
        </w:rPr>
        <w:br/>
        <w:t>та малі):</w:t>
      </w:r>
    </w:p>
    <w:p w14:paraId="1BC5BC90" w14:textId="77777777" w:rsidR="00605BE1" w:rsidRPr="004019FD" w:rsidRDefault="00605BE1" w:rsidP="00605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DFAB78" w14:textId="16261DC1" w:rsidR="00605BE1" w:rsidRPr="004019FD" w:rsidRDefault="00605BE1" w:rsidP="00605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E0B">
        <w:rPr>
          <w:rFonts w:ascii="Times New Roman" w:hAnsi="Times New Roman"/>
          <w:sz w:val="24"/>
          <w:szCs w:val="24"/>
        </w:rPr>
        <w:t xml:space="preserve">кількість суб’єктів малого підприємництва, на яких поширюється регулювання: (одиниць), у тому числі малого підприємництва (одиниць) та мікропідприємництва (одиниць) </w:t>
      </w:r>
      <w:r w:rsidR="00D864D9">
        <w:rPr>
          <w:rFonts w:ascii="Times New Roman" w:hAnsi="Times New Roman"/>
          <w:sz w:val="24"/>
          <w:szCs w:val="24"/>
        </w:rPr>
        <w:t xml:space="preserve">– </w:t>
      </w:r>
      <w:r w:rsidR="00D864D9" w:rsidRPr="00D864D9">
        <w:rPr>
          <w:rFonts w:ascii="Times New Roman" w:hAnsi="Times New Roman"/>
          <w:b/>
          <w:sz w:val="24"/>
          <w:szCs w:val="24"/>
        </w:rPr>
        <w:t>1 умовний суб'єкт малого підприємництва.</w:t>
      </w:r>
    </w:p>
    <w:p w14:paraId="1EC1D531" w14:textId="77777777" w:rsidR="00605BE1" w:rsidRPr="004019FD" w:rsidRDefault="00605BE1" w:rsidP="0060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1C6DEE" w14:textId="77777777" w:rsidR="00605BE1" w:rsidRPr="004019FD" w:rsidRDefault="00605BE1" w:rsidP="00605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9FD">
        <w:rPr>
          <w:rFonts w:ascii="Times New Roman" w:hAnsi="Times New Roman"/>
          <w:sz w:val="24"/>
          <w:szCs w:val="24"/>
        </w:rPr>
        <w:t>3. Розрахунок витрат суб’єктів малого підприємництва на виконання вимог регулювання</w:t>
      </w:r>
    </w:p>
    <w:p w14:paraId="16B1EE9F" w14:textId="77777777" w:rsidR="00605BE1" w:rsidRPr="004019FD" w:rsidRDefault="00605BE1" w:rsidP="0060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51"/>
        <w:gridCol w:w="1843"/>
        <w:gridCol w:w="1984"/>
        <w:gridCol w:w="1843"/>
      </w:tblGrid>
      <w:tr w:rsidR="00605BE1" w:rsidRPr="004019FD" w14:paraId="2887D48A" w14:textId="77777777" w:rsidTr="00050F36">
        <w:tc>
          <w:tcPr>
            <w:tcW w:w="1668" w:type="dxa"/>
            <w:vAlign w:val="center"/>
          </w:tcPr>
          <w:p w14:paraId="431C1537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2551" w:type="dxa"/>
            <w:vAlign w:val="center"/>
          </w:tcPr>
          <w:p w14:paraId="2766B573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Найменування оцінки</w:t>
            </w:r>
          </w:p>
        </w:tc>
        <w:tc>
          <w:tcPr>
            <w:tcW w:w="1843" w:type="dxa"/>
            <w:vAlign w:val="center"/>
          </w:tcPr>
          <w:p w14:paraId="2A4BC7C8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У перший рік (стартовий рік впровадження регулювання)</w:t>
            </w:r>
          </w:p>
        </w:tc>
        <w:tc>
          <w:tcPr>
            <w:tcW w:w="1984" w:type="dxa"/>
            <w:vAlign w:val="center"/>
          </w:tcPr>
          <w:p w14:paraId="383C16AD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Періодичні (за наступний рік)</w:t>
            </w:r>
          </w:p>
        </w:tc>
        <w:tc>
          <w:tcPr>
            <w:tcW w:w="1843" w:type="dxa"/>
            <w:vAlign w:val="center"/>
          </w:tcPr>
          <w:p w14:paraId="743ECE93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Витрати за п’ять років</w:t>
            </w:r>
          </w:p>
        </w:tc>
      </w:tr>
      <w:tr w:rsidR="00605BE1" w:rsidRPr="004019FD" w14:paraId="357FAD8C" w14:textId="77777777" w:rsidTr="00050F36">
        <w:tc>
          <w:tcPr>
            <w:tcW w:w="9889" w:type="dxa"/>
            <w:gridSpan w:val="5"/>
          </w:tcPr>
          <w:p w14:paraId="7DF184C6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605BE1" w:rsidRPr="004019FD" w14:paraId="1BEA6DAE" w14:textId="77777777" w:rsidTr="00050F36">
        <w:tc>
          <w:tcPr>
            <w:tcW w:w="1668" w:type="dxa"/>
          </w:tcPr>
          <w:p w14:paraId="7E319305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EE22BBD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Придбання необхідного обладнання (пристроїв, машин, механізмів)</w:t>
            </w:r>
          </w:p>
          <w:p w14:paraId="55B4D47D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48AFA8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877741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984" w:type="dxa"/>
          </w:tcPr>
          <w:p w14:paraId="07F6CD70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33E67B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843" w:type="dxa"/>
          </w:tcPr>
          <w:p w14:paraId="3C1DB747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0CFA47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</w:tr>
      <w:tr w:rsidR="00605BE1" w:rsidRPr="004019FD" w14:paraId="3D8BC627" w14:textId="77777777" w:rsidTr="00050F36">
        <w:tc>
          <w:tcPr>
            <w:tcW w:w="1668" w:type="dxa"/>
          </w:tcPr>
          <w:p w14:paraId="0B7E77AB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DC18B3A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14:paraId="5506FB13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DADAED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0D7376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984" w:type="dxa"/>
          </w:tcPr>
          <w:p w14:paraId="09136D02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499202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843" w:type="dxa"/>
          </w:tcPr>
          <w:p w14:paraId="26733DFB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1D8533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</w:tr>
      <w:tr w:rsidR="00605BE1" w:rsidRPr="004019FD" w14:paraId="3E2B463F" w14:textId="77777777" w:rsidTr="00050F36">
        <w:tc>
          <w:tcPr>
            <w:tcW w:w="1668" w:type="dxa"/>
          </w:tcPr>
          <w:p w14:paraId="363D8ABA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71FFE320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Процедури експлуатації обладнання (експлуатаційні витрати – витратні матеріали)</w:t>
            </w:r>
          </w:p>
          <w:p w14:paraId="00B92F80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5FF221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D8B169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984" w:type="dxa"/>
          </w:tcPr>
          <w:p w14:paraId="361ACAC8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E238FE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843" w:type="dxa"/>
          </w:tcPr>
          <w:p w14:paraId="4DB1360C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735908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</w:tr>
      <w:tr w:rsidR="00605BE1" w:rsidRPr="004019FD" w14:paraId="709AB653" w14:textId="77777777" w:rsidTr="00050F36">
        <w:tc>
          <w:tcPr>
            <w:tcW w:w="1668" w:type="dxa"/>
          </w:tcPr>
          <w:p w14:paraId="1D32BD86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3E9D80F7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Процедури обслуговування обладнання (технічне обслуговування)</w:t>
            </w:r>
          </w:p>
          <w:p w14:paraId="3B6961EA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DE3436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85CC2A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984" w:type="dxa"/>
          </w:tcPr>
          <w:p w14:paraId="06F64B37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B03C72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843" w:type="dxa"/>
          </w:tcPr>
          <w:p w14:paraId="510BB57C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3E283E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</w:tr>
      <w:tr w:rsidR="00605BE1" w:rsidRPr="004019FD" w14:paraId="3E9A4C62" w14:textId="77777777" w:rsidTr="00050F36">
        <w:tc>
          <w:tcPr>
            <w:tcW w:w="1668" w:type="dxa"/>
          </w:tcPr>
          <w:p w14:paraId="7A518C41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257E8E6E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Інші процедури (уточнити)</w:t>
            </w:r>
          </w:p>
        </w:tc>
        <w:tc>
          <w:tcPr>
            <w:tcW w:w="1843" w:type="dxa"/>
          </w:tcPr>
          <w:p w14:paraId="032ACC56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ED9F77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984" w:type="dxa"/>
          </w:tcPr>
          <w:p w14:paraId="060B4FC2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FF8071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843" w:type="dxa"/>
          </w:tcPr>
          <w:p w14:paraId="36EF6D61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4405AC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</w:tr>
      <w:tr w:rsidR="00605BE1" w:rsidRPr="004019FD" w14:paraId="43F326DA" w14:textId="77777777" w:rsidTr="00050F36">
        <w:tc>
          <w:tcPr>
            <w:tcW w:w="1668" w:type="dxa"/>
          </w:tcPr>
          <w:p w14:paraId="40712E95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5114E1F2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Разом, гривень</w:t>
            </w:r>
          </w:p>
          <w:p w14:paraId="292CD642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24778C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0AF9F8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984" w:type="dxa"/>
          </w:tcPr>
          <w:p w14:paraId="42247D34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E41321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4BE874C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592BD4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5BE1" w:rsidRPr="004019FD" w14:paraId="66BA54E1" w14:textId="77777777" w:rsidTr="00050F36">
        <w:tc>
          <w:tcPr>
            <w:tcW w:w="1668" w:type="dxa"/>
          </w:tcPr>
          <w:p w14:paraId="622653EF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736ED063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Кількість суб’єктів господарювання, які мають виконати вимоги регулювання, одиниць</w:t>
            </w:r>
          </w:p>
        </w:tc>
        <w:tc>
          <w:tcPr>
            <w:tcW w:w="1843" w:type="dxa"/>
          </w:tcPr>
          <w:p w14:paraId="7D3D5AA0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CAA549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984" w:type="dxa"/>
          </w:tcPr>
          <w:p w14:paraId="3A33B06B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C03DCF9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B413012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DE06DE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</w:tr>
      <w:tr w:rsidR="00605BE1" w:rsidRPr="004019FD" w14:paraId="415641CB" w14:textId="77777777" w:rsidTr="00050F36">
        <w:tc>
          <w:tcPr>
            <w:tcW w:w="1668" w:type="dxa"/>
          </w:tcPr>
          <w:p w14:paraId="15571A9A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49A437C6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Сумарно, гривень</w:t>
            </w:r>
          </w:p>
          <w:p w14:paraId="3BFC78C1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B14513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B3D640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984" w:type="dxa"/>
          </w:tcPr>
          <w:p w14:paraId="442F21C0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EAE0C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CD7E066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C85AF6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</w:tr>
      <w:tr w:rsidR="00605BE1" w:rsidRPr="004019FD" w14:paraId="6136B5FF" w14:textId="77777777" w:rsidTr="00050F36">
        <w:tc>
          <w:tcPr>
            <w:tcW w:w="9889" w:type="dxa"/>
            <w:gridSpan w:val="5"/>
          </w:tcPr>
          <w:p w14:paraId="2526EBF4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605BE1" w:rsidRPr="004019FD" w14:paraId="7A556616" w14:textId="77777777" w:rsidTr="00050F36">
        <w:tc>
          <w:tcPr>
            <w:tcW w:w="1668" w:type="dxa"/>
          </w:tcPr>
          <w:p w14:paraId="0AF0E6FC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56DA01E0" w14:textId="102629F6" w:rsidR="00605BE1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Процедури отримання первинної інформації про вимоги регулювання</w:t>
            </w:r>
            <w:r w:rsidR="002A47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3F7FDC" w14:textId="014A9BD6" w:rsidR="00E704F3" w:rsidRPr="004019FD" w:rsidRDefault="00E704F3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Одноразово</w:t>
            </w:r>
          </w:p>
          <w:p w14:paraId="6A2BD962" w14:textId="77777777" w:rsidR="00E704F3" w:rsidRPr="00BA7E0B" w:rsidRDefault="00E704F3" w:rsidP="00E704F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8C3655">
              <w:rPr>
                <w:rFonts w:ascii="Times New Roman" w:hAnsi="Times New Roman"/>
                <w:b/>
                <w:sz w:val="24"/>
                <w:szCs w:val="24"/>
              </w:rPr>
              <w:t>Формула: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C3655">
              <w:rPr>
                <w:rFonts w:ascii="Times New Roman" w:hAnsi="Times New Roman"/>
                <w:b/>
                <w:i/>
                <w:sz w:val="24"/>
                <w:szCs w:val="24"/>
              </w:rPr>
              <w:t>фактичні витрати часу * заробітна плата спеціаліста відповідної кваліфікації * кількість суб’єктів, які підпадають під дію процедури регулювання *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кількість процедур за рік).</w:t>
            </w:r>
          </w:p>
          <w:p w14:paraId="0486CE4A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A48D2D" w14:textId="77777777" w:rsidR="00605BE1" w:rsidRPr="00875FAA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B47D19" w14:textId="27CE18BE" w:rsidR="00605BE1" w:rsidRPr="00875FAA" w:rsidRDefault="002A475E" w:rsidP="00E70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75AAD">
              <w:rPr>
                <w:rFonts w:ascii="Times New Roman" w:hAnsi="Times New Roman"/>
                <w:b/>
                <w:sz w:val="24"/>
                <w:szCs w:val="24"/>
              </w:rPr>
              <w:t>00 грн.</w:t>
            </w:r>
          </w:p>
          <w:p w14:paraId="7030097C" w14:textId="5A4596B8" w:rsidR="00605BE1" w:rsidRPr="00875FAA" w:rsidRDefault="00E704F3" w:rsidP="00E704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 день – 8 робочих годин, заробітна</w:t>
            </w:r>
            <w:r w:rsidR="002A475E">
              <w:rPr>
                <w:rFonts w:ascii="Times New Roman" w:hAnsi="Times New Roman"/>
                <w:b/>
                <w:sz w:val="24"/>
                <w:szCs w:val="24"/>
              </w:rPr>
              <w:t xml:space="preserve"> плата на місяць – 6000 грн., 1 робочий 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заробітна плата - 25 грн/год)</w:t>
            </w:r>
          </w:p>
          <w:p w14:paraId="7DE8DF57" w14:textId="77777777" w:rsidR="00605BE1" w:rsidRPr="00875FAA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CD1233" w14:textId="77777777" w:rsidR="00605BE1" w:rsidRPr="00875FAA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4029A2" w14:textId="77777777" w:rsidR="00605BE1" w:rsidRPr="00875FAA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8A1666" w14:textId="684DBB57" w:rsidR="00605BE1" w:rsidRPr="00875FAA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FA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2A47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75FAA" w:rsidRPr="00875FAA">
              <w:rPr>
                <w:rFonts w:ascii="Times New Roman" w:hAnsi="Times New Roman"/>
                <w:b/>
                <w:sz w:val="24"/>
                <w:szCs w:val="24"/>
              </w:rPr>
              <w:t>00 грн.</w:t>
            </w:r>
          </w:p>
          <w:p w14:paraId="378A2C49" w14:textId="77777777" w:rsidR="00605BE1" w:rsidRPr="00875FAA" w:rsidRDefault="00605BE1" w:rsidP="00050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D1AF35" w14:textId="77777777" w:rsidR="00605BE1" w:rsidRPr="00875FAA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FA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93B510E" w14:textId="77777777" w:rsidR="00605BE1" w:rsidRPr="00875FAA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C24ECA" w14:textId="2649163E" w:rsidR="00605BE1" w:rsidRPr="00875FAA" w:rsidRDefault="00605BE1" w:rsidP="00E704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FAA">
              <w:rPr>
                <w:rFonts w:ascii="Times New Roman" w:hAnsi="Times New Roman"/>
                <w:b/>
                <w:sz w:val="24"/>
                <w:szCs w:val="24"/>
              </w:rPr>
              <w:t> -</w:t>
            </w:r>
          </w:p>
        </w:tc>
      </w:tr>
      <w:tr w:rsidR="00605BE1" w:rsidRPr="004019FD" w14:paraId="2BE8C792" w14:textId="77777777" w:rsidTr="00050F36">
        <w:tc>
          <w:tcPr>
            <w:tcW w:w="1668" w:type="dxa"/>
          </w:tcPr>
          <w:p w14:paraId="393A4E82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0CE29617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Процедури організації виконання вимог регулювання</w:t>
            </w:r>
          </w:p>
          <w:p w14:paraId="6BA4A10E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C398D6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CB223B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AED1F22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D00BD5" w14:textId="77777777" w:rsidR="00605BE1" w:rsidRPr="004019FD" w:rsidRDefault="00605BE1" w:rsidP="0005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62B1DC" w14:textId="77777777" w:rsidR="00605BE1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A4E29B4" w14:textId="77777777" w:rsidR="00605BE1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A29DA1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860F04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FAEB16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1994A4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6835E9" w14:textId="77777777" w:rsidR="00605BE1" w:rsidRPr="004019FD" w:rsidRDefault="00605BE1" w:rsidP="0005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E91FC9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1843" w:type="dxa"/>
          </w:tcPr>
          <w:p w14:paraId="1C752A54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E596DB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3D92E31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CDF774" w14:textId="77777777" w:rsidR="00605BE1" w:rsidRPr="004019FD" w:rsidRDefault="00605BE1" w:rsidP="0005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9AD4F7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5BE1" w:rsidRPr="004019FD" w14:paraId="080747D1" w14:textId="77777777" w:rsidTr="00050F36">
        <w:tc>
          <w:tcPr>
            <w:tcW w:w="1668" w:type="dxa"/>
          </w:tcPr>
          <w:p w14:paraId="1C3CFC97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6AB2F5F2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Процедури офіційного звітування</w:t>
            </w:r>
          </w:p>
          <w:p w14:paraId="6E92393D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AAC61A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7ED7D9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984" w:type="dxa"/>
          </w:tcPr>
          <w:p w14:paraId="112B51D0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EE51F5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843" w:type="dxa"/>
          </w:tcPr>
          <w:p w14:paraId="62CB0316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425017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</w:tr>
      <w:tr w:rsidR="00605BE1" w:rsidRPr="004019FD" w14:paraId="794CFFAC" w14:textId="77777777" w:rsidTr="00050F36">
        <w:tc>
          <w:tcPr>
            <w:tcW w:w="1668" w:type="dxa"/>
          </w:tcPr>
          <w:p w14:paraId="1A5ADF04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2B2A57DF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Процедури щодо забезпечення процесу перевірок</w:t>
            </w:r>
          </w:p>
          <w:p w14:paraId="1279E16D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C9DD26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35F0BE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984" w:type="dxa"/>
          </w:tcPr>
          <w:p w14:paraId="67617F1D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56706D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843" w:type="dxa"/>
          </w:tcPr>
          <w:p w14:paraId="6923C6DC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90C7C8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</w:tr>
      <w:tr w:rsidR="00605BE1" w:rsidRPr="004019FD" w14:paraId="0A2735C3" w14:textId="77777777" w:rsidTr="00050F36">
        <w:tc>
          <w:tcPr>
            <w:tcW w:w="1668" w:type="dxa"/>
          </w:tcPr>
          <w:p w14:paraId="19F95648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0D6FD81C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Інші процедури (уточнити)</w:t>
            </w:r>
          </w:p>
        </w:tc>
        <w:tc>
          <w:tcPr>
            <w:tcW w:w="1843" w:type="dxa"/>
          </w:tcPr>
          <w:p w14:paraId="16C25662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878A786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BF82D2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90A5C2C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D7EF26D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BE1" w:rsidRPr="004019FD" w14:paraId="3838E8AF" w14:textId="77777777" w:rsidTr="00050F36">
        <w:tc>
          <w:tcPr>
            <w:tcW w:w="1668" w:type="dxa"/>
          </w:tcPr>
          <w:p w14:paraId="1D463E8D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2ADA705B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Разом, гривень</w:t>
            </w:r>
          </w:p>
          <w:p w14:paraId="19151154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4674D1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21FC63B3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A898179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5BE1" w:rsidRPr="004019FD" w14:paraId="2608957F" w14:textId="77777777" w:rsidTr="00050F36">
        <w:tc>
          <w:tcPr>
            <w:tcW w:w="1668" w:type="dxa"/>
          </w:tcPr>
          <w:p w14:paraId="7A43405C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010911DF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Кількість суб’єктів малого підприємництва, які мають виконати вимоги регулювання, одиниць</w:t>
            </w:r>
          </w:p>
        </w:tc>
        <w:tc>
          <w:tcPr>
            <w:tcW w:w="1843" w:type="dxa"/>
          </w:tcPr>
          <w:p w14:paraId="53FF42A5" w14:textId="77777777" w:rsidR="00605BE1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AC9B59" w14:textId="77777777" w:rsidR="00605BE1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D05763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7DB53154" w14:textId="77777777" w:rsidR="00605BE1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32557C" w14:textId="77777777" w:rsidR="00605BE1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06342A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019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14:paraId="1A0BF8FD" w14:textId="77777777" w:rsidR="00605BE1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5BD18F" w14:textId="77777777" w:rsidR="00605BE1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833802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</w:tr>
      <w:tr w:rsidR="00875FAA" w:rsidRPr="004019FD" w14:paraId="29BFD0DC" w14:textId="77777777" w:rsidTr="00050F36">
        <w:tc>
          <w:tcPr>
            <w:tcW w:w="1668" w:type="dxa"/>
          </w:tcPr>
          <w:p w14:paraId="325BEAC6" w14:textId="77777777" w:rsidR="00875FAA" w:rsidRPr="004019FD" w:rsidRDefault="00875FAA" w:rsidP="0087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0B4A8C45" w14:textId="77777777" w:rsidR="00875FAA" w:rsidRPr="004019FD" w:rsidRDefault="00875FAA" w:rsidP="00875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Сумарно, гривень</w:t>
            </w:r>
          </w:p>
          <w:p w14:paraId="45F3DA7B" w14:textId="7CF508DA" w:rsidR="00875FAA" w:rsidRPr="00372381" w:rsidRDefault="00372381" w:rsidP="00875F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2381">
              <w:rPr>
                <w:rFonts w:ascii="Times New Roman" w:hAnsi="Times New Roman"/>
                <w:b/>
                <w:sz w:val="24"/>
                <w:szCs w:val="24"/>
              </w:rPr>
              <w:t>(Формула сума рядків1:15)</w:t>
            </w:r>
          </w:p>
        </w:tc>
        <w:tc>
          <w:tcPr>
            <w:tcW w:w="1843" w:type="dxa"/>
          </w:tcPr>
          <w:p w14:paraId="6D3FF5D4" w14:textId="77777777" w:rsidR="00875FAA" w:rsidRPr="00875FAA" w:rsidRDefault="00875FAA" w:rsidP="00875F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9FE3AC" w14:textId="1A64D909" w:rsidR="00875FAA" w:rsidRPr="004019FD" w:rsidRDefault="002A475E" w:rsidP="00E75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75AAD" w:rsidRPr="00875FAA">
              <w:rPr>
                <w:rFonts w:ascii="Times New Roman" w:hAnsi="Times New Roman"/>
                <w:b/>
                <w:sz w:val="24"/>
                <w:szCs w:val="24"/>
              </w:rPr>
              <w:t>00 грн.</w:t>
            </w:r>
          </w:p>
        </w:tc>
        <w:tc>
          <w:tcPr>
            <w:tcW w:w="1984" w:type="dxa"/>
          </w:tcPr>
          <w:p w14:paraId="065DDA4D" w14:textId="77777777" w:rsidR="00875FAA" w:rsidRPr="00875FAA" w:rsidRDefault="00875FAA" w:rsidP="00875F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8C6F26" w14:textId="197AAD8B" w:rsidR="00875FAA" w:rsidRPr="00875FAA" w:rsidRDefault="002A475E" w:rsidP="00875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75AAD">
              <w:rPr>
                <w:rFonts w:ascii="Times New Roman" w:hAnsi="Times New Roman"/>
                <w:b/>
                <w:sz w:val="24"/>
                <w:szCs w:val="24"/>
              </w:rPr>
              <w:t>00 грн.</w:t>
            </w:r>
            <w:r w:rsidR="00875FAA" w:rsidRPr="00875FA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14:paraId="7B90E0F7" w14:textId="77777777" w:rsidR="00875FAA" w:rsidRPr="00875FAA" w:rsidRDefault="00875FAA" w:rsidP="00875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1FA2F4" w14:textId="00134D9C" w:rsidR="00875FAA" w:rsidRPr="004019FD" w:rsidRDefault="00875FAA" w:rsidP="0087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23212FC" w14:textId="77777777" w:rsidR="00875FAA" w:rsidRPr="00875FAA" w:rsidRDefault="00875FAA" w:rsidP="00875F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0F0286" w14:textId="2857FB65" w:rsidR="00875FAA" w:rsidRPr="00875FAA" w:rsidRDefault="00E704F3" w:rsidP="00875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-</w:t>
            </w:r>
          </w:p>
          <w:p w14:paraId="28E09244" w14:textId="77777777" w:rsidR="00875FAA" w:rsidRPr="00875FAA" w:rsidRDefault="00875FAA" w:rsidP="00875F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15D601" w14:textId="4A580E66" w:rsidR="00875FAA" w:rsidRPr="004019FD" w:rsidRDefault="00875FAA" w:rsidP="00875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FA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3EBC625C" w14:textId="77777777" w:rsidR="00605BE1" w:rsidRPr="004019FD" w:rsidRDefault="00605BE1" w:rsidP="0060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6467A" w14:textId="77777777" w:rsidR="00605BE1" w:rsidRPr="004019FD" w:rsidRDefault="00605BE1" w:rsidP="00605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9FD">
        <w:rPr>
          <w:rFonts w:ascii="Times New Roman" w:hAnsi="Times New Roman"/>
          <w:sz w:val="24"/>
          <w:szCs w:val="24"/>
        </w:rPr>
        <w:t>Бюджетні витрати на адміністрування регулювання суб’єктів малого підприємництва.</w:t>
      </w:r>
    </w:p>
    <w:p w14:paraId="5D9A951A" w14:textId="77777777" w:rsidR="00605BE1" w:rsidRPr="004019FD" w:rsidRDefault="00605BE1" w:rsidP="0060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56FE09" w14:textId="77777777" w:rsidR="00605BE1" w:rsidRPr="00D620B1" w:rsidRDefault="00605BE1" w:rsidP="00605B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20B1">
        <w:rPr>
          <w:rFonts w:ascii="Times New Roman" w:hAnsi="Times New Roman"/>
          <w:sz w:val="24"/>
          <w:szCs w:val="24"/>
        </w:rPr>
        <w:t>Державний орган, для якого здійснюється розрахунок вартості адміністрування регулювання:</w:t>
      </w:r>
      <w:r w:rsidRPr="00D620B1">
        <w:rPr>
          <w:rFonts w:ascii="Times New Roman" w:hAnsi="Times New Roman"/>
          <w:b/>
          <w:sz w:val="24"/>
          <w:szCs w:val="24"/>
        </w:rPr>
        <w:t xml:space="preserve"> Державна служба геології та надр України.</w:t>
      </w:r>
    </w:p>
    <w:p w14:paraId="0249C1CA" w14:textId="77777777" w:rsidR="00605BE1" w:rsidRPr="004019FD" w:rsidRDefault="00605BE1" w:rsidP="00605B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305"/>
        <w:gridCol w:w="1417"/>
        <w:gridCol w:w="1560"/>
        <w:gridCol w:w="1134"/>
        <w:gridCol w:w="1530"/>
      </w:tblGrid>
      <w:tr w:rsidR="00605BE1" w:rsidRPr="004019FD" w14:paraId="6D568F56" w14:textId="77777777" w:rsidTr="003B5E39">
        <w:tc>
          <w:tcPr>
            <w:tcW w:w="2943" w:type="dxa"/>
          </w:tcPr>
          <w:p w14:paraId="629C0586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Процедура регулювання суб’єктів малого підприємництва (розрахунок на одного типового суб’єкта господарювання малого підприємництва – у разі потреби окремо для суб’єктів малого та мікропідприємництв)</w:t>
            </w:r>
          </w:p>
        </w:tc>
        <w:tc>
          <w:tcPr>
            <w:tcW w:w="1305" w:type="dxa"/>
          </w:tcPr>
          <w:p w14:paraId="168CC6CB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Планові витрати часу на процедуру</w:t>
            </w:r>
          </w:p>
        </w:tc>
        <w:tc>
          <w:tcPr>
            <w:tcW w:w="1417" w:type="dxa"/>
          </w:tcPr>
          <w:p w14:paraId="31B30D73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1560" w:type="dxa"/>
          </w:tcPr>
          <w:p w14:paraId="3D17B4FE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1134" w:type="dxa"/>
          </w:tcPr>
          <w:p w14:paraId="5187414D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Оцінка кількості суб’єктів, які підпадають під дію процедури регулювання</w:t>
            </w:r>
          </w:p>
        </w:tc>
        <w:tc>
          <w:tcPr>
            <w:tcW w:w="1530" w:type="dxa"/>
          </w:tcPr>
          <w:p w14:paraId="4CE0F652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Витрати на адміністрування регулювання* (за рік), гривень</w:t>
            </w:r>
          </w:p>
        </w:tc>
      </w:tr>
      <w:tr w:rsidR="00605BE1" w:rsidRPr="004019FD" w14:paraId="040E01C0" w14:textId="77777777" w:rsidTr="003B5E39">
        <w:tc>
          <w:tcPr>
            <w:tcW w:w="2943" w:type="dxa"/>
          </w:tcPr>
          <w:p w14:paraId="2CC5D77F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1. Облік суб’єкта господарювання, який перебуває у сфері регулювання</w:t>
            </w:r>
          </w:p>
        </w:tc>
        <w:tc>
          <w:tcPr>
            <w:tcW w:w="1305" w:type="dxa"/>
          </w:tcPr>
          <w:p w14:paraId="3CE8E35A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66C0B9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417" w:type="dxa"/>
          </w:tcPr>
          <w:p w14:paraId="79FC488E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785723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560" w:type="dxa"/>
          </w:tcPr>
          <w:p w14:paraId="49B3B4C1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2A1E31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1134" w:type="dxa"/>
          </w:tcPr>
          <w:p w14:paraId="00D4FB9F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C5B09F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1530" w:type="dxa"/>
          </w:tcPr>
          <w:p w14:paraId="0C157D89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7DB177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</w:tr>
      <w:tr w:rsidR="00605BE1" w:rsidRPr="004019FD" w14:paraId="66B26E91" w14:textId="77777777" w:rsidTr="003B5E39">
        <w:tc>
          <w:tcPr>
            <w:tcW w:w="2943" w:type="dxa"/>
          </w:tcPr>
          <w:p w14:paraId="2865CE6F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2. Поточний контроль за суб'єктом господарювання, який перебуває у сфері регулювання, у тому числі:</w:t>
            </w:r>
          </w:p>
        </w:tc>
        <w:tc>
          <w:tcPr>
            <w:tcW w:w="1305" w:type="dxa"/>
          </w:tcPr>
          <w:p w14:paraId="64AD4E31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9D8DC8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417" w:type="dxa"/>
          </w:tcPr>
          <w:p w14:paraId="225525A6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920BAD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560" w:type="dxa"/>
          </w:tcPr>
          <w:p w14:paraId="78D6B26D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8803D8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1134" w:type="dxa"/>
          </w:tcPr>
          <w:p w14:paraId="0008663D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46F3CC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1530" w:type="dxa"/>
          </w:tcPr>
          <w:p w14:paraId="0603B773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A16BD3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</w:tr>
      <w:tr w:rsidR="00605BE1" w:rsidRPr="004019FD" w14:paraId="0B6D4923" w14:textId="77777777" w:rsidTr="003B5E39">
        <w:tc>
          <w:tcPr>
            <w:tcW w:w="2943" w:type="dxa"/>
          </w:tcPr>
          <w:p w14:paraId="6648A69C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камеральні</w:t>
            </w:r>
          </w:p>
        </w:tc>
        <w:tc>
          <w:tcPr>
            <w:tcW w:w="1305" w:type="dxa"/>
            <w:vAlign w:val="center"/>
          </w:tcPr>
          <w:p w14:paraId="0C2CAB22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417" w:type="dxa"/>
            <w:vAlign w:val="center"/>
          </w:tcPr>
          <w:p w14:paraId="28ADDF84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560" w:type="dxa"/>
            <w:vAlign w:val="center"/>
          </w:tcPr>
          <w:p w14:paraId="31648C38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1134" w:type="dxa"/>
            <w:vAlign w:val="center"/>
          </w:tcPr>
          <w:p w14:paraId="7963FBD5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1530" w:type="dxa"/>
            <w:vAlign w:val="center"/>
          </w:tcPr>
          <w:p w14:paraId="0BC12320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</w:tr>
      <w:tr w:rsidR="00605BE1" w:rsidRPr="004019FD" w14:paraId="1152E129" w14:textId="77777777" w:rsidTr="003B5E39">
        <w:tc>
          <w:tcPr>
            <w:tcW w:w="2943" w:type="dxa"/>
          </w:tcPr>
          <w:p w14:paraId="7A9B7444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виїзні</w:t>
            </w:r>
          </w:p>
        </w:tc>
        <w:tc>
          <w:tcPr>
            <w:tcW w:w="1305" w:type="dxa"/>
            <w:vAlign w:val="center"/>
          </w:tcPr>
          <w:p w14:paraId="38C84984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417" w:type="dxa"/>
            <w:vAlign w:val="center"/>
          </w:tcPr>
          <w:p w14:paraId="76B92DAF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560" w:type="dxa"/>
            <w:vAlign w:val="center"/>
          </w:tcPr>
          <w:p w14:paraId="391A7F85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1134" w:type="dxa"/>
            <w:vAlign w:val="center"/>
          </w:tcPr>
          <w:p w14:paraId="489AEF5A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1530" w:type="dxa"/>
            <w:vAlign w:val="center"/>
          </w:tcPr>
          <w:p w14:paraId="7ADD27F5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</w:tr>
      <w:tr w:rsidR="00605BE1" w:rsidRPr="004019FD" w14:paraId="1CD00D0F" w14:textId="77777777" w:rsidTr="003B5E39">
        <w:tc>
          <w:tcPr>
            <w:tcW w:w="2943" w:type="dxa"/>
          </w:tcPr>
          <w:p w14:paraId="33949ED0" w14:textId="77777777" w:rsidR="00605BE1" w:rsidRPr="004019FD" w:rsidRDefault="00605BE1" w:rsidP="00050F36">
            <w:pPr>
              <w:tabs>
                <w:tab w:val="left" w:pos="7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1305" w:type="dxa"/>
          </w:tcPr>
          <w:p w14:paraId="679D5EE3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4E15B1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417" w:type="dxa"/>
          </w:tcPr>
          <w:p w14:paraId="1DA2D802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457AC1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560" w:type="dxa"/>
          </w:tcPr>
          <w:p w14:paraId="0382F02B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4461FC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1134" w:type="dxa"/>
          </w:tcPr>
          <w:p w14:paraId="476FDB82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44F7B3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1530" w:type="dxa"/>
          </w:tcPr>
          <w:p w14:paraId="55DF4FF7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0B8A93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</w:tr>
      <w:tr w:rsidR="00605BE1" w:rsidRPr="004019FD" w14:paraId="21B457BD" w14:textId="77777777" w:rsidTr="003B5E39">
        <w:tc>
          <w:tcPr>
            <w:tcW w:w="2943" w:type="dxa"/>
          </w:tcPr>
          <w:p w14:paraId="7491C267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305" w:type="dxa"/>
          </w:tcPr>
          <w:p w14:paraId="16DBCDF9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799A4F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417" w:type="dxa"/>
          </w:tcPr>
          <w:p w14:paraId="19217BCE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973CAB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560" w:type="dxa"/>
          </w:tcPr>
          <w:p w14:paraId="28FF33C1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713F77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1134" w:type="dxa"/>
          </w:tcPr>
          <w:p w14:paraId="509C9597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23A822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1530" w:type="dxa"/>
          </w:tcPr>
          <w:p w14:paraId="4CF5F7DE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32DF7C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</w:tr>
      <w:tr w:rsidR="00605BE1" w:rsidRPr="004019FD" w14:paraId="193A1029" w14:textId="77777777" w:rsidTr="003B5E39">
        <w:tc>
          <w:tcPr>
            <w:tcW w:w="2943" w:type="dxa"/>
          </w:tcPr>
          <w:p w14:paraId="1E96B046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5. Оскарження одного окремого рішення суб'єктами господарювання</w:t>
            </w:r>
          </w:p>
        </w:tc>
        <w:tc>
          <w:tcPr>
            <w:tcW w:w="1305" w:type="dxa"/>
          </w:tcPr>
          <w:p w14:paraId="15F53344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BC7644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417" w:type="dxa"/>
          </w:tcPr>
          <w:p w14:paraId="2B12023F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ECE1F5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560" w:type="dxa"/>
          </w:tcPr>
          <w:p w14:paraId="56A56140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90A7CC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1134" w:type="dxa"/>
          </w:tcPr>
          <w:p w14:paraId="458204E4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2791E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1530" w:type="dxa"/>
          </w:tcPr>
          <w:p w14:paraId="01ED4905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17057C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</w:tr>
      <w:tr w:rsidR="00605BE1" w:rsidRPr="004019FD" w14:paraId="3FF83488" w14:textId="77777777" w:rsidTr="003B5E39">
        <w:tc>
          <w:tcPr>
            <w:tcW w:w="2943" w:type="dxa"/>
          </w:tcPr>
          <w:p w14:paraId="638AC282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6. Підготовка звітності за результатами регулювання</w:t>
            </w:r>
          </w:p>
        </w:tc>
        <w:tc>
          <w:tcPr>
            <w:tcW w:w="1305" w:type="dxa"/>
          </w:tcPr>
          <w:p w14:paraId="5D54ED13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17CD04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417" w:type="dxa"/>
          </w:tcPr>
          <w:p w14:paraId="1220E780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5DD333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1560" w:type="dxa"/>
          </w:tcPr>
          <w:p w14:paraId="117BF9C3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296416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1134" w:type="dxa"/>
          </w:tcPr>
          <w:p w14:paraId="3AF18D50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C7106D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1530" w:type="dxa"/>
          </w:tcPr>
          <w:p w14:paraId="72CE01AF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23797A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</w:tr>
      <w:tr w:rsidR="00605BE1" w:rsidRPr="004019FD" w14:paraId="62E780B9" w14:textId="77777777" w:rsidTr="003B5E39">
        <w:tc>
          <w:tcPr>
            <w:tcW w:w="2943" w:type="dxa"/>
          </w:tcPr>
          <w:p w14:paraId="30041EDF" w14:textId="77777777" w:rsidR="00605BE1" w:rsidRPr="00BA7E0B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E0B">
              <w:rPr>
                <w:rFonts w:ascii="Times New Roman" w:hAnsi="Times New Roman"/>
                <w:sz w:val="24"/>
                <w:szCs w:val="24"/>
              </w:rPr>
              <w:t>7. Інші адміністративні процедури (уточнити):</w:t>
            </w:r>
          </w:p>
          <w:p w14:paraId="29212635" w14:textId="77777777" w:rsidR="00605BE1" w:rsidRPr="00BA7E0B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7E0B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Лабораторні дослідження для встановлення виду корисної копалини.</w:t>
            </w:r>
          </w:p>
          <w:p w14:paraId="77C386E2" w14:textId="77777777" w:rsidR="00605BE1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A7E0B">
              <w:rPr>
                <w:rFonts w:ascii="Times New Roman" w:hAnsi="Times New Roman"/>
                <w:b/>
                <w:i/>
                <w:sz w:val="24"/>
                <w:szCs w:val="24"/>
              </w:rPr>
              <w:t>Здійснюються на місці самовільного користування надрами.</w:t>
            </w:r>
          </w:p>
          <w:p w14:paraId="3861040B" w14:textId="5794281D" w:rsidR="007A779A" w:rsidRPr="00BA7E0B" w:rsidRDefault="008C3655" w:rsidP="00050F3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A779A" w:rsidRPr="008C3655">
              <w:rPr>
                <w:rFonts w:ascii="Times New Roman" w:hAnsi="Times New Roman"/>
                <w:b/>
                <w:sz w:val="24"/>
                <w:szCs w:val="24"/>
              </w:rPr>
              <w:t>Формула:</w:t>
            </w:r>
            <w:r w:rsidR="007A77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A779A" w:rsidRPr="008C36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фактичні витрати часу * заробітна плата спеціаліста </w:t>
            </w:r>
            <w:r w:rsidRPr="008C3655">
              <w:rPr>
                <w:rFonts w:ascii="Times New Roman" w:hAnsi="Times New Roman"/>
                <w:b/>
                <w:i/>
                <w:sz w:val="24"/>
                <w:szCs w:val="24"/>
              </w:rPr>
              <w:t>відповідної кваліфікації * кількість суб’єктів, які підпадають під дію процедури регулювання *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кількість процедур за рік).</w:t>
            </w:r>
          </w:p>
          <w:p w14:paraId="231A7ED2" w14:textId="77777777" w:rsidR="00605BE1" w:rsidRPr="00BA7E0B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A7FF55C" w14:textId="77777777" w:rsidR="00605BE1" w:rsidRPr="00BA7E0B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F4B7AB" w14:textId="77777777" w:rsidR="00605BE1" w:rsidRPr="00BA7E0B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E0B">
              <w:rPr>
                <w:rFonts w:ascii="Times New Roman" w:hAnsi="Times New Roman"/>
                <w:b/>
                <w:sz w:val="24"/>
                <w:szCs w:val="24"/>
              </w:rPr>
              <w:t>10 робочих днів</w:t>
            </w:r>
          </w:p>
        </w:tc>
        <w:tc>
          <w:tcPr>
            <w:tcW w:w="1417" w:type="dxa"/>
          </w:tcPr>
          <w:p w14:paraId="2C36EE85" w14:textId="77777777" w:rsidR="00605BE1" w:rsidRPr="00BA7E0B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691E29" w14:textId="6B84D710" w:rsidR="00050F36" w:rsidRPr="00BA7E0B" w:rsidRDefault="00050F36" w:rsidP="007840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6000</w:t>
            </w:r>
            <w:r w:rsidR="00605BE1" w:rsidRPr="00BA7E0B">
              <w:rPr>
                <w:rFonts w:ascii="Times New Roman" w:hAnsi="Times New Roman"/>
                <w:b/>
                <w:sz w:val="24"/>
                <w:szCs w:val="24"/>
              </w:rPr>
              <w:t xml:space="preserve"> грн.</w:t>
            </w:r>
            <w:r w:rsidR="000746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5B6ED6D" w14:textId="77777777" w:rsidR="00605BE1" w:rsidRPr="00BA7E0B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BF42F7" w14:textId="77777777" w:rsidR="00605BE1" w:rsidRPr="00BA7E0B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E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78EBCD" w14:textId="77777777" w:rsidR="00605BE1" w:rsidRPr="00BA7E0B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FAEADE" w14:textId="21E056C7" w:rsidR="00605BE1" w:rsidRPr="00BA7E0B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E0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14:paraId="171126DC" w14:textId="77777777" w:rsidR="00605BE1" w:rsidRPr="00BA7E0B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51CD49" w14:textId="77777777" w:rsidR="00605BE1" w:rsidRDefault="00E75AAD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050F36"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  <w:r w:rsidR="00605BE1" w:rsidRPr="00BA7E0B">
              <w:rPr>
                <w:rFonts w:ascii="Times New Roman" w:hAnsi="Times New Roman"/>
                <w:b/>
                <w:sz w:val="24"/>
                <w:szCs w:val="24"/>
              </w:rPr>
              <w:t xml:space="preserve"> грн.</w:t>
            </w:r>
          </w:p>
          <w:p w14:paraId="080C8218" w14:textId="0534446B" w:rsidR="003B5E39" w:rsidRPr="00BA7E0B" w:rsidRDefault="003B5E39" w:rsidP="007A7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C2527">
              <w:rPr>
                <w:rFonts w:ascii="Times New Roman" w:hAnsi="Times New Roman"/>
                <w:b/>
                <w:sz w:val="24"/>
                <w:szCs w:val="24"/>
              </w:rPr>
              <w:t>1 день – 8 робочих годин, заробітна плата на місяць –</w:t>
            </w:r>
            <w:r w:rsidR="007840E6">
              <w:rPr>
                <w:rFonts w:ascii="Times New Roman" w:hAnsi="Times New Roman"/>
                <w:b/>
                <w:sz w:val="24"/>
                <w:szCs w:val="24"/>
              </w:rPr>
              <w:t xml:space="preserve"> 6000 грн., 1</w:t>
            </w:r>
            <w:r w:rsidR="00CC252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A779A">
              <w:rPr>
                <w:rFonts w:ascii="Times New Roman" w:hAnsi="Times New Roman"/>
                <w:b/>
                <w:sz w:val="24"/>
                <w:szCs w:val="24"/>
              </w:rPr>
              <w:t xml:space="preserve"> робочих днів, заробітна плата - 25 грн/год)</w:t>
            </w:r>
          </w:p>
        </w:tc>
      </w:tr>
      <w:tr w:rsidR="00605BE1" w:rsidRPr="004019FD" w14:paraId="0547FBD4" w14:textId="77777777" w:rsidTr="003B5E39">
        <w:tc>
          <w:tcPr>
            <w:tcW w:w="2943" w:type="dxa"/>
          </w:tcPr>
          <w:p w14:paraId="7DF6EAE0" w14:textId="77777777" w:rsidR="00605BE1" w:rsidRDefault="00605BE1" w:rsidP="0005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E0B">
              <w:rPr>
                <w:rFonts w:ascii="Times New Roman" w:hAnsi="Times New Roman"/>
                <w:sz w:val="24"/>
                <w:szCs w:val="24"/>
              </w:rPr>
              <w:t>Разом за рік</w:t>
            </w:r>
          </w:p>
          <w:p w14:paraId="66422746" w14:textId="2B676918" w:rsidR="00404BBF" w:rsidRPr="00372381" w:rsidRDefault="00404BBF" w:rsidP="00050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381">
              <w:rPr>
                <w:rFonts w:ascii="Times New Roman" w:hAnsi="Times New Roman"/>
                <w:b/>
                <w:sz w:val="24"/>
                <w:szCs w:val="24"/>
              </w:rPr>
              <w:t>(Формула: сума рядків 1+2+3+4+5+6+7)</w:t>
            </w:r>
          </w:p>
        </w:tc>
        <w:tc>
          <w:tcPr>
            <w:tcW w:w="1305" w:type="dxa"/>
          </w:tcPr>
          <w:p w14:paraId="12E9A21E" w14:textId="77777777" w:rsidR="00605BE1" w:rsidRPr="00BA7E0B" w:rsidRDefault="00605BE1" w:rsidP="00050F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FD0BC7" w14:textId="77777777" w:rsidR="00605BE1" w:rsidRPr="00BA7E0B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E0B">
              <w:rPr>
                <w:rFonts w:ascii="Times New Roman" w:hAnsi="Times New Roman"/>
                <w:b/>
                <w:sz w:val="24"/>
                <w:szCs w:val="24"/>
              </w:rPr>
              <w:t>10 робочих днів</w:t>
            </w:r>
          </w:p>
        </w:tc>
        <w:tc>
          <w:tcPr>
            <w:tcW w:w="1417" w:type="dxa"/>
          </w:tcPr>
          <w:p w14:paraId="31B99195" w14:textId="77777777" w:rsidR="00605BE1" w:rsidRPr="00BA7E0B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FFF63A" w14:textId="77777777" w:rsidR="00605BE1" w:rsidRDefault="00050F36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6000</w:t>
            </w:r>
            <w:r w:rsidR="00605BE1" w:rsidRPr="00BA7E0B">
              <w:rPr>
                <w:rFonts w:ascii="Times New Roman" w:hAnsi="Times New Roman"/>
                <w:b/>
                <w:sz w:val="24"/>
                <w:szCs w:val="24"/>
              </w:rPr>
              <w:t xml:space="preserve"> грн.</w:t>
            </w:r>
          </w:p>
          <w:p w14:paraId="3712D520" w14:textId="27D6FEBA" w:rsidR="00404BBF" w:rsidRPr="00BA7E0B" w:rsidRDefault="00404BBF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86F7DA" w14:textId="77777777" w:rsidR="00605BE1" w:rsidRPr="00BA7E0B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DF4E20" w14:textId="77777777" w:rsidR="00605BE1" w:rsidRPr="00BA7E0B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E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C4D2A1" w14:textId="77777777" w:rsidR="00605BE1" w:rsidRPr="00BA7E0B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D13C63" w14:textId="366DCFAF" w:rsidR="00605BE1" w:rsidRPr="00BA7E0B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E0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14:paraId="700669E5" w14:textId="77777777" w:rsidR="00605BE1" w:rsidRPr="00BA7E0B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195E6B" w14:textId="53EFBB08" w:rsidR="00605BE1" w:rsidRPr="00BA7E0B" w:rsidRDefault="00E75AAD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605BE1" w:rsidRPr="00BA7E0B">
              <w:rPr>
                <w:rFonts w:ascii="Times New Roman" w:hAnsi="Times New Roman"/>
                <w:b/>
                <w:sz w:val="24"/>
                <w:szCs w:val="24"/>
              </w:rPr>
              <w:t> 000 грн.</w:t>
            </w:r>
          </w:p>
        </w:tc>
      </w:tr>
      <w:tr w:rsidR="00605BE1" w:rsidRPr="004019FD" w14:paraId="16069F4E" w14:textId="77777777" w:rsidTr="003B5E39">
        <w:tc>
          <w:tcPr>
            <w:tcW w:w="2943" w:type="dxa"/>
          </w:tcPr>
          <w:p w14:paraId="35949609" w14:textId="77777777" w:rsidR="00605BE1" w:rsidRPr="00BA7E0B" w:rsidRDefault="00605BE1" w:rsidP="0005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E0B">
              <w:rPr>
                <w:rFonts w:ascii="Times New Roman" w:hAnsi="Times New Roman"/>
                <w:sz w:val="24"/>
                <w:szCs w:val="24"/>
              </w:rPr>
              <w:t>Сумарно за п’ять років</w:t>
            </w:r>
          </w:p>
        </w:tc>
        <w:tc>
          <w:tcPr>
            <w:tcW w:w="1305" w:type="dxa"/>
          </w:tcPr>
          <w:p w14:paraId="204C9C95" w14:textId="77777777" w:rsidR="00605BE1" w:rsidRPr="00BA7E0B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E0B">
              <w:rPr>
                <w:rFonts w:ascii="Times New Roman" w:hAnsi="Times New Roman"/>
                <w:b/>
                <w:sz w:val="24"/>
                <w:szCs w:val="24"/>
              </w:rPr>
              <w:t>50 робочих днів</w:t>
            </w:r>
          </w:p>
        </w:tc>
        <w:tc>
          <w:tcPr>
            <w:tcW w:w="1417" w:type="dxa"/>
          </w:tcPr>
          <w:p w14:paraId="361FB448" w14:textId="704309D0" w:rsidR="00605BE1" w:rsidRPr="00BA7E0B" w:rsidRDefault="00E75AAD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30000 грн.</w:t>
            </w:r>
          </w:p>
        </w:tc>
        <w:tc>
          <w:tcPr>
            <w:tcW w:w="1560" w:type="dxa"/>
          </w:tcPr>
          <w:p w14:paraId="7953F1D0" w14:textId="77777777" w:rsidR="00605BE1" w:rsidRPr="00BA7E0B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E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470B997" w14:textId="79638893" w:rsidR="00605BE1" w:rsidRPr="00BA7E0B" w:rsidRDefault="000746F4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14:paraId="138CA79B" w14:textId="5F104148" w:rsidR="00605BE1" w:rsidRPr="00BA7E0B" w:rsidRDefault="00E75AAD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605BE1" w:rsidRPr="00BA7E0B">
              <w:rPr>
                <w:rFonts w:ascii="Times New Roman" w:hAnsi="Times New Roman"/>
                <w:b/>
                <w:sz w:val="24"/>
                <w:szCs w:val="24"/>
              </w:rPr>
              <w:t> 000 грн.</w:t>
            </w:r>
          </w:p>
        </w:tc>
      </w:tr>
    </w:tbl>
    <w:p w14:paraId="171A3D71" w14:textId="77777777" w:rsidR="00605BE1" w:rsidRPr="004019FD" w:rsidRDefault="00605BE1" w:rsidP="00404B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9FD">
        <w:rPr>
          <w:rFonts w:ascii="Times New Roman" w:hAnsi="Times New Roman"/>
          <w:sz w:val="24"/>
          <w:szCs w:val="24"/>
        </w:rPr>
        <w:t>___________</w:t>
      </w:r>
    </w:p>
    <w:p w14:paraId="6445812A" w14:textId="77777777" w:rsidR="00605BE1" w:rsidRPr="004019FD" w:rsidRDefault="00605BE1" w:rsidP="00605B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9791AE6" w14:textId="1EBE77F9" w:rsidR="00605BE1" w:rsidRPr="004019FD" w:rsidRDefault="00875FAA" w:rsidP="00605B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05BE1" w:rsidRPr="004019FD">
        <w:rPr>
          <w:rFonts w:ascii="Times New Roman" w:hAnsi="Times New Roman"/>
          <w:sz w:val="24"/>
          <w:szCs w:val="24"/>
        </w:rPr>
        <w:t xml:space="preserve">ержавне регулювання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605BE1" w:rsidRPr="004019FD">
        <w:rPr>
          <w:rFonts w:ascii="Times New Roman" w:hAnsi="Times New Roman"/>
          <w:sz w:val="24"/>
          <w:szCs w:val="24"/>
        </w:rPr>
        <w:t>передбачає утворення нового державного органу (або нового структурн</w:t>
      </w:r>
      <w:r>
        <w:rPr>
          <w:rFonts w:ascii="Times New Roman" w:hAnsi="Times New Roman"/>
          <w:sz w:val="24"/>
          <w:szCs w:val="24"/>
        </w:rPr>
        <w:t>ого підрозділу діючого органу).</w:t>
      </w:r>
    </w:p>
    <w:p w14:paraId="0D64DBAD" w14:textId="77777777" w:rsidR="00605BE1" w:rsidRPr="004019FD" w:rsidRDefault="00605BE1" w:rsidP="0060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4C27C1" w14:textId="77777777" w:rsidR="00605BE1" w:rsidRPr="004019FD" w:rsidRDefault="00605BE1" w:rsidP="00605B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9FD">
        <w:rPr>
          <w:rFonts w:ascii="Times New Roman" w:hAnsi="Times New Roman"/>
          <w:sz w:val="24"/>
          <w:szCs w:val="24"/>
        </w:rPr>
        <w:t>4. Розрахунок сумарних витрат суб’єктів малого підприємництва, що виникають на виконання вимог регулювання.</w:t>
      </w:r>
    </w:p>
    <w:p w14:paraId="119E01E4" w14:textId="77777777" w:rsidR="00605BE1" w:rsidRPr="004019FD" w:rsidRDefault="00605BE1" w:rsidP="0060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969"/>
        <w:gridCol w:w="2126"/>
        <w:gridCol w:w="2268"/>
      </w:tblGrid>
      <w:tr w:rsidR="00605BE1" w:rsidRPr="004019FD" w14:paraId="54471F45" w14:textId="77777777" w:rsidTr="00050F36">
        <w:tc>
          <w:tcPr>
            <w:tcW w:w="1526" w:type="dxa"/>
            <w:vAlign w:val="center"/>
          </w:tcPr>
          <w:p w14:paraId="75BB3528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3969" w:type="dxa"/>
            <w:vAlign w:val="center"/>
          </w:tcPr>
          <w:p w14:paraId="29F33B9D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Показник</w:t>
            </w:r>
          </w:p>
        </w:tc>
        <w:tc>
          <w:tcPr>
            <w:tcW w:w="2126" w:type="dxa"/>
            <w:vAlign w:val="center"/>
          </w:tcPr>
          <w:p w14:paraId="7342C814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Перший рік регулювання (стартовий)</w:t>
            </w:r>
          </w:p>
        </w:tc>
        <w:tc>
          <w:tcPr>
            <w:tcW w:w="2268" w:type="dxa"/>
            <w:vAlign w:val="center"/>
          </w:tcPr>
          <w:p w14:paraId="6402A37F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За п’ять років</w:t>
            </w:r>
          </w:p>
        </w:tc>
      </w:tr>
      <w:tr w:rsidR="00605BE1" w:rsidRPr="004019FD" w14:paraId="4EFFA097" w14:textId="77777777" w:rsidTr="00050F36">
        <w:tc>
          <w:tcPr>
            <w:tcW w:w="1526" w:type="dxa"/>
          </w:tcPr>
          <w:p w14:paraId="478775A1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2B879FB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126" w:type="dxa"/>
          </w:tcPr>
          <w:p w14:paraId="6A2C5983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4272F3CC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5BE1" w:rsidRPr="004019FD" w14:paraId="4BA25A2E" w14:textId="77777777" w:rsidTr="00050F36">
        <w:tc>
          <w:tcPr>
            <w:tcW w:w="1526" w:type="dxa"/>
          </w:tcPr>
          <w:p w14:paraId="3FC0A5A2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5C9F1D74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126" w:type="dxa"/>
          </w:tcPr>
          <w:p w14:paraId="5F39D0AB" w14:textId="77777777" w:rsidR="00605BE1" w:rsidRPr="00CC2527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070EAE" w14:textId="19AB1D25" w:rsidR="00605BE1" w:rsidRPr="00CC2527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52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2A47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C2527" w:rsidRPr="00CC2527">
              <w:rPr>
                <w:rFonts w:ascii="Times New Roman" w:hAnsi="Times New Roman"/>
                <w:b/>
                <w:sz w:val="24"/>
                <w:szCs w:val="24"/>
              </w:rPr>
              <w:t>00 грн.</w:t>
            </w:r>
          </w:p>
        </w:tc>
        <w:tc>
          <w:tcPr>
            <w:tcW w:w="2268" w:type="dxa"/>
          </w:tcPr>
          <w:p w14:paraId="51CB0BE4" w14:textId="77777777" w:rsidR="00605BE1" w:rsidRPr="00CC2527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940C22" w14:textId="7E4E1DA8" w:rsidR="00605BE1" w:rsidRPr="00CC2527" w:rsidRDefault="00E704F3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-</w:t>
            </w:r>
          </w:p>
        </w:tc>
      </w:tr>
      <w:tr w:rsidR="00605BE1" w:rsidRPr="004019FD" w14:paraId="7AC28A6C" w14:textId="77777777" w:rsidTr="00050F36">
        <w:tc>
          <w:tcPr>
            <w:tcW w:w="1526" w:type="dxa"/>
          </w:tcPr>
          <w:p w14:paraId="2E6A6ADB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43922CB9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126" w:type="dxa"/>
          </w:tcPr>
          <w:p w14:paraId="59CA94E4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BEC6F2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2268" w:type="dxa"/>
          </w:tcPr>
          <w:p w14:paraId="70E2FCC4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07D6A6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</w:tr>
      <w:tr w:rsidR="00605BE1" w:rsidRPr="004019FD" w14:paraId="0A34CA7F" w14:textId="77777777" w:rsidTr="00050F36">
        <w:tc>
          <w:tcPr>
            <w:tcW w:w="1526" w:type="dxa"/>
          </w:tcPr>
          <w:p w14:paraId="14455590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42F02065" w14:textId="77777777" w:rsidR="00605BE1" w:rsidRPr="004019FD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126" w:type="dxa"/>
          </w:tcPr>
          <w:p w14:paraId="1117AD8B" w14:textId="77777777" w:rsidR="00605BE1" w:rsidRPr="00CC2527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6961B8" w14:textId="54042433" w:rsidR="00605BE1" w:rsidRPr="00CC2527" w:rsidRDefault="00E704F3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40 000</w:t>
            </w:r>
            <w:r w:rsidR="00CC2527" w:rsidRPr="00CC2527">
              <w:rPr>
                <w:rFonts w:ascii="Times New Roman" w:hAnsi="Times New Roman"/>
                <w:b/>
                <w:sz w:val="24"/>
                <w:szCs w:val="24"/>
              </w:rPr>
              <w:t xml:space="preserve"> грн.</w:t>
            </w:r>
          </w:p>
        </w:tc>
        <w:tc>
          <w:tcPr>
            <w:tcW w:w="2268" w:type="dxa"/>
          </w:tcPr>
          <w:p w14:paraId="69D6C0D5" w14:textId="77777777" w:rsidR="00605BE1" w:rsidRPr="00CC2527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B0A848" w14:textId="3CB34A70" w:rsidR="00605BE1" w:rsidRPr="00CC2527" w:rsidRDefault="00E704F3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200 000 грн.</w:t>
            </w:r>
          </w:p>
        </w:tc>
      </w:tr>
      <w:tr w:rsidR="00605BE1" w:rsidRPr="004019FD" w14:paraId="15A4A273" w14:textId="77777777" w:rsidTr="00050F36">
        <w:tc>
          <w:tcPr>
            <w:tcW w:w="1526" w:type="dxa"/>
          </w:tcPr>
          <w:p w14:paraId="264912D3" w14:textId="77777777" w:rsidR="00605BE1" w:rsidRPr="004019FD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44E30FDD" w14:textId="77777777" w:rsidR="00605BE1" w:rsidRDefault="00605BE1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9FD">
              <w:rPr>
                <w:rFonts w:ascii="Times New Roman" w:hAnsi="Times New Roman"/>
                <w:sz w:val="24"/>
                <w:szCs w:val="24"/>
              </w:rPr>
              <w:t>Сумарні витрати на виконання запланованого регулювання</w:t>
            </w:r>
          </w:p>
          <w:p w14:paraId="5C63F454" w14:textId="774E1DCE" w:rsidR="003F352D" w:rsidRPr="004019FD" w:rsidRDefault="003F352D" w:rsidP="00050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F352D">
              <w:rPr>
                <w:rFonts w:ascii="Times New Roman" w:hAnsi="Times New Roman"/>
                <w:b/>
                <w:sz w:val="24"/>
                <w:szCs w:val="24"/>
              </w:rPr>
              <w:t>Формула : сума рядків 2+4)</w:t>
            </w:r>
          </w:p>
        </w:tc>
        <w:tc>
          <w:tcPr>
            <w:tcW w:w="2126" w:type="dxa"/>
          </w:tcPr>
          <w:p w14:paraId="01A125E4" w14:textId="464E4274" w:rsidR="00605BE1" w:rsidRDefault="00E704F3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r w:rsidR="002A47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04BBF">
              <w:rPr>
                <w:rFonts w:ascii="Times New Roman" w:hAnsi="Times New Roman"/>
                <w:b/>
                <w:sz w:val="24"/>
                <w:szCs w:val="24"/>
              </w:rPr>
              <w:t>00 грн</w:t>
            </w:r>
          </w:p>
          <w:p w14:paraId="07DF99D9" w14:textId="77777777" w:rsidR="00404BBF" w:rsidRPr="00050F36" w:rsidRDefault="00404BBF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375A78" w14:textId="77777777" w:rsidR="00605BE1" w:rsidRPr="00050F36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F36">
              <w:rPr>
                <w:rFonts w:ascii="Times New Roman" w:hAnsi="Times New Roman"/>
                <w:b/>
                <w:sz w:val="24"/>
                <w:szCs w:val="24"/>
              </w:rPr>
              <w:t> -</w:t>
            </w:r>
          </w:p>
        </w:tc>
        <w:tc>
          <w:tcPr>
            <w:tcW w:w="2268" w:type="dxa"/>
          </w:tcPr>
          <w:p w14:paraId="4C9681BD" w14:textId="2C4956C5" w:rsidR="00605BE1" w:rsidRPr="00050F36" w:rsidRDefault="002A475E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200 2</w:t>
            </w:r>
            <w:r w:rsidR="00E704F3">
              <w:rPr>
                <w:rFonts w:ascii="Times New Roman" w:hAnsi="Times New Roman"/>
                <w:b/>
                <w:sz w:val="24"/>
                <w:szCs w:val="24"/>
              </w:rPr>
              <w:t>00 грн.</w:t>
            </w:r>
          </w:p>
          <w:p w14:paraId="44FC1454" w14:textId="77777777" w:rsidR="00605BE1" w:rsidRPr="00050F36" w:rsidRDefault="00605BE1" w:rsidP="00050F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F36">
              <w:rPr>
                <w:rFonts w:ascii="Times New Roman" w:hAnsi="Times New Roman"/>
                <w:b/>
                <w:sz w:val="24"/>
                <w:szCs w:val="24"/>
              </w:rPr>
              <w:t> -</w:t>
            </w:r>
          </w:p>
        </w:tc>
      </w:tr>
    </w:tbl>
    <w:p w14:paraId="67F8D7A3" w14:textId="281DD4BA" w:rsidR="00605BE1" w:rsidRPr="004019FD" w:rsidRDefault="00605BE1" w:rsidP="00605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757B74" w14:textId="30CFC744" w:rsidR="00605BE1" w:rsidRPr="004019FD" w:rsidRDefault="00605BE1" w:rsidP="00605B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9FD">
        <w:rPr>
          <w:rFonts w:ascii="Times New Roman" w:hAnsi="Times New Roman"/>
          <w:sz w:val="24"/>
          <w:szCs w:val="24"/>
        </w:rPr>
        <w:t>5. Розроблення коригуючих (пом’якшувальних) заходів для малого підприємництва щ</w:t>
      </w:r>
      <w:r w:rsidR="00875FAA">
        <w:rPr>
          <w:rFonts w:ascii="Times New Roman" w:hAnsi="Times New Roman"/>
          <w:sz w:val="24"/>
          <w:szCs w:val="24"/>
        </w:rPr>
        <w:t>одо запропонованого регулювання не передбачається.</w:t>
      </w:r>
    </w:p>
    <w:p w14:paraId="5B2A1367" w14:textId="5C73EBEE" w:rsidR="00605BE1" w:rsidRPr="00D822D7" w:rsidRDefault="00605BE1" w:rsidP="00605B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sectPr w:rsidR="00605BE1" w:rsidRPr="00D822D7" w:rsidSect="00BF6750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EB1D5" w14:textId="77777777" w:rsidR="00404BBF" w:rsidRDefault="00404BBF" w:rsidP="00DC1B7E">
      <w:pPr>
        <w:spacing w:after="0" w:line="240" w:lineRule="auto"/>
      </w:pPr>
      <w:r>
        <w:separator/>
      </w:r>
    </w:p>
  </w:endnote>
  <w:endnote w:type="continuationSeparator" w:id="0">
    <w:p w14:paraId="0171CD78" w14:textId="77777777" w:rsidR="00404BBF" w:rsidRDefault="00404BBF" w:rsidP="00DC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9C1DB" w14:textId="77777777" w:rsidR="00404BBF" w:rsidRDefault="00404BBF" w:rsidP="00DC1B7E">
      <w:pPr>
        <w:spacing w:after="0" w:line="240" w:lineRule="auto"/>
      </w:pPr>
      <w:r>
        <w:separator/>
      </w:r>
    </w:p>
  </w:footnote>
  <w:footnote w:type="continuationSeparator" w:id="0">
    <w:p w14:paraId="5614825B" w14:textId="77777777" w:rsidR="00404BBF" w:rsidRDefault="00404BBF" w:rsidP="00DC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01233"/>
      <w:docPartObj>
        <w:docPartGallery w:val="Page Numbers (Top of Page)"/>
        <w:docPartUnique/>
      </w:docPartObj>
    </w:sdtPr>
    <w:sdtEndPr/>
    <w:sdtContent>
      <w:p w14:paraId="206D31B1" w14:textId="55003E2E" w:rsidR="00404BBF" w:rsidRDefault="00404B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AF5" w:rsidRPr="00555AF5">
          <w:rPr>
            <w:noProof/>
            <w:lang w:val="ru-RU"/>
          </w:rPr>
          <w:t>2</w:t>
        </w:r>
        <w:r>
          <w:fldChar w:fldCharType="end"/>
        </w:r>
      </w:p>
    </w:sdtContent>
  </w:sdt>
  <w:p w14:paraId="0A0771A8" w14:textId="21B9C9EE" w:rsidR="00404BBF" w:rsidRPr="00DC1B7E" w:rsidRDefault="00404BBF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359B3"/>
    <w:multiLevelType w:val="hybridMultilevel"/>
    <w:tmpl w:val="57167E44"/>
    <w:lvl w:ilvl="0" w:tplc="0D0829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D12EC"/>
    <w:multiLevelType w:val="hybridMultilevel"/>
    <w:tmpl w:val="5D702496"/>
    <w:lvl w:ilvl="0" w:tplc="E50E057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19C1743"/>
    <w:multiLevelType w:val="hybridMultilevel"/>
    <w:tmpl w:val="1FC42A80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34611E1E"/>
    <w:multiLevelType w:val="hybridMultilevel"/>
    <w:tmpl w:val="94888C0E"/>
    <w:lvl w:ilvl="0" w:tplc="4928F870">
      <w:start w:val="4"/>
      <w:numFmt w:val="decimal"/>
      <w:lvlText w:val="%1)"/>
      <w:lvlJc w:val="left"/>
      <w:pPr>
        <w:ind w:left="1170" w:hanging="360"/>
      </w:pPr>
      <w:rPr>
        <w:rFonts w:ascii="Calibri" w:hAnsi="Calibri"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B3A5D6F"/>
    <w:multiLevelType w:val="hybridMultilevel"/>
    <w:tmpl w:val="1FF0A49C"/>
    <w:lvl w:ilvl="0" w:tplc="D102D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A6BA9"/>
    <w:multiLevelType w:val="hybridMultilevel"/>
    <w:tmpl w:val="1BFAB368"/>
    <w:lvl w:ilvl="0" w:tplc="BCD016C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0334C"/>
    <w:multiLevelType w:val="hybridMultilevel"/>
    <w:tmpl w:val="E5FA5CCA"/>
    <w:lvl w:ilvl="0" w:tplc="E50E057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3DA3849"/>
    <w:multiLevelType w:val="hybridMultilevel"/>
    <w:tmpl w:val="76D2E6F2"/>
    <w:lvl w:ilvl="0" w:tplc="9F089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DE"/>
    <w:rsid w:val="00003148"/>
    <w:rsid w:val="00021E31"/>
    <w:rsid w:val="00026301"/>
    <w:rsid w:val="0002798D"/>
    <w:rsid w:val="00032BCE"/>
    <w:rsid w:val="0004574D"/>
    <w:rsid w:val="00050F36"/>
    <w:rsid w:val="00057644"/>
    <w:rsid w:val="000746F4"/>
    <w:rsid w:val="00093377"/>
    <w:rsid w:val="000A1F36"/>
    <w:rsid w:val="000B59BA"/>
    <w:rsid w:val="000C187B"/>
    <w:rsid w:val="000D0758"/>
    <w:rsid w:val="000D7619"/>
    <w:rsid w:val="00123F43"/>
    <w:rsid w:val="0015579B"/>
    <w:rsid w:val="001A687C"/>
    <w:rsid w:val="001A70A3"/>
    <w:rsid w:val="001B219C"/>
    <w:rsid w:val="001D180C"/>
    <w:rsid w:val="001F74B0"/>
    <w:rsid w:val="00200CFF"/>
    <w:rsid w:val="00201EDA"/>
    <w:rsid w:val="002024F4"/>
    <w:rsid w:val="00206CC8"/>
    <w:rsid w:val="00212AA3"/>
    <w:rsid w:val="00220154"/>
    <w:rsid w:val="00222628"/>
    <w:rsid w:val="0023332C"/>
    <w:rsid w:val="0023404B"/>
    <w:rsid w:val="0026215C"/>
    <w:rsid w:val="00275F6F"/>
    <w:rsid w:val="002A475E"/>
    <w:rsid w:val="002A7290"/>
    <w:rsid w:val="002C4182"/>
    <w:rsid w:val="002E5A98"/>
    <w:rsid w:val="002E6061"/>
    <w:rsid w:val="002F5AE9"/>
    <w:rsid w:val="002F7814"/>
    <w:rsid w:val="00310134"/>
    <w:rsid w:val="00334F3F"/>
    <w:rsid w:val="00337AED"/>
    <w:rsid w:val="00355A3B"/>
    <w:rsid w:val="00370B44"/>
    <w:rsid w:val="00372381"/>
    <w:rsid w:val="003731FE"/>
    <w:rsid w:val="003B47FB"/>
    <w:rsid w:val="003B5E39"/>
    <w:rsid w:val="003C77BB"/>
    <w:rsid w:val="003E13DA"/>
    <w:rsid w:val="003F352D"/>
    <w:rsid w:val="00404BBF"/>
    <w:rsid w:val="004068F9"/>
    <w:rsid w:val="00414262"/>
    <w:rsid w:val="0042151C"/>
    <w:rsid w:val="004428EF"/>
    <w:rsid w:val="00444ACF"/>
    <w:rsid w:val="004504D8"/>
    <w:rsid w:val="00465AB5"/>
    <w:rsid w:val="004C6DB2"/>
    <w:rsid w:val="004F18E6"/>
    <w:rsid w:val="0050482A"/>
    <w:rsid w:val="00550370"/>
    <w:rsid w:val="00555AF5"/>
    <w:rsid w:val="005623E7"/>
    <w:rsid w:val="00564CA1"/>
    <w:rsid w:val="0056696A"/>
    <w:rsid w:val="00580FD7"/>
    <w:rsid w:val="005D2556"/>
    <w:rsid w:val="005D7958"/>
    <w:rsid w:val="005E2BFC"/>
    <w:rsid w:val="00605BE1"/>
    <w:rsid w:val="00617F7D"/>
    <w:rsid w:val="00631662"/>
    <w:rsid w:val="006B02D8"/>
    <w:rsid w:val="006B0C2B"/>
    <w:rsid w:val="006C0360"/>
    <w:rsid w:val="006C7917"/>
    <w:rsid w:val="007003CA"/>
    <w:rsid w:val="007122F6"/>
    <w:rsid w:val="007151DE"/>
    <w:rsid w:val="007317D0"/>
    <w:rsid w:val="00734652"/>
    <w:rsid w:val="00754C56"/>
    <w:rsid w:val="007840E6"/>
    <w:rsid w:val="007841C3"/>
    <w:rsid w:val="007A1526"/>
    <w:rsid w:val="007A779A"/>
    <w:rsid w:val="007B60CC"/>
    <w:rsid w:val="007E37D8"/>
    <w:rsid w:val="00807762"/>
    <w:rsid w:val="00865ED2"/>
    <w:rsid w:val="0086771C"/>
    <w:rsid w:val="00875FAA"/>
    <w:rsid w:val="00877F8B"/>
    <w:rsid w:val="008A1329"/>
    <w:rsid w:val="008A324C"/>
    <w:rsid w:val="008A537E"/>
    <w:rsid w:val="008B76E7"/>
    <w:rsid w:val="008C3655"/>
    <w:rsid w:val="008E401D"/>
    <w:rsid w:val="008F7A6A"/>
    <w:rsid w:val="0090659C"/>
    <w:rsid w:val="00910E1D"/>
    <w:rsid w:val="0092107D"/>
    <w:rsid w:val="00922052"/>
    <w:rsid w:val="00943204"/>
    <w:rsid w:val="00952B18"/>
    <w:rsid w:val="00954EC6"/>
    <w:rsid w:val="0096238A"/>
    <w:rsid w:val="00962823"/>
    <w:rsid w:val="009728B4"/>
    <w:rsid w:val="009761CA"/>
    <w:rsid w:val="009A13F0"/>
    <w:rsid w:val="009B19BD"/>
    <w:rsid w:val="009B38A2"/>
    <w:rsid w:val="009E0089"/>
    <w:rsid w:val="009E0177"/>
    <w:rsid w:val="009E5BFF"/>
    <w:rsid w:val="00A00F32"/>
    <w:rsid w:val="00A025E0"/>
    <w:rsid w:val="00A06C26"/>
    <w:rsid w:val="00A14ADB"/>
    <w:rsid w:val="00A25213"/>
    <w:rsid w:val="00A41F9E"/>
    <w:rsid w:val="00A51BCF"/>
    <w:rsid w:val="00A737AC"/>
    <w:rsid w:val="00AC51C7"/>
    <w:rsid w:val="00AC5DD9"/>
    <w:rsid w:val="00AD545F"/>
    <w:rsid w:val="00B02B36"/>
    <w:rsid w:val="00B4118B"/>
    <w:rsid w:val="00B566DD"/>
    <w:rsid w:val="00B7119B"/>
    <w:rsid w:val="00B960F4"/>
    <w:rsid w:val="00BA7F01"/>
    <w:rsid w:val="00BB6447"/>
    <w:rsid w:val="00BD5B01"/>
    <w:rsid w:val="00BE6EBA"/>
    <w:rsid w:val="00BF6750"/>
    <w:rsid w:val="00C04B13"/>
    <w:rsid w:val="00C07EBB"/>
    <w:rsid w:val="00C16E5B"/>
    <w:rsid w:val="00C21A3D"/>
    <w:rsid w:val="00C31D7E"/>
    <w:rsid w:val="00C3334C"/>
    <w:rsid w:val="00C4145D"/>
    <w:rsid w:val="00C41EF7"/>
    <w:rsid w:val="00C63F27"/>
    <w:rsid w:val="00C65FC4"/>
    <w:rsid w:val="00C70EDF"/>
    <w:rsid w:val="00C93B38"/>
    <w:rsid w:val="00CA6B84"/>
    <w:rsid w:val="00CC1BEE"/>
    <w:rsid w:val="00CC2527"/>
    <w:rsid w:val="00CC61A9"/>
    <w:rsid w:val="00CC72AD"/>
    <w:rsid w:val="00CD5CF0"/>
    <w:rsid w:val="00CE17B3"/>
    <w:rsid w:val="00CE634F"/>
    <w:rsid w:val="00CE75F9"/>
    <w:rsid w:val="00CE77D5"/>
    <w:rsid w:val="00CF31BE"/>
    <w:rsid w:val="00D03721"/>
    <w:rsid w:val="00D101BE"/>
    <w:rsid w:val="00D17947"/>
    <w:rsid w:val="00D273A4"/>
    <w:rsid w:val="00D326C1"/>
    <w:rsid w:val="00D50CC4"/>
    <w:rsid w:val="00D549F3"/>
    <w:rsid w:val="00D6364A"/>
    <w:rsid w:val="00D822D7"/>
    <w:rsid w:val="00D864D9"/>
    <w:rsid w:val="00D938C8"/>
    <w:rsid w:val="00DC1B7E"/>
    <w:rsid w:val="00DD2CAE"/>
    <w:rsid w:val="00DF158B"/>
    <w:rsid w:val="00E063C2"/>
    <w:rsid w:val="00E078F9"/>
    <w:rsid w:val="00E5209A"/>
    <w:rsid w:val="00E704F3"/>
    <w:rsid w:val="00E75AAD"/>
    <w:rsid w:val="00E92E9F"/>
    <w:rsid w:val="00EC566A"/>
    <w:rsid w:val="00ED5FD8"/>
    <w:rsid w:val="00F16330"/>
    <w:rsid w:val="00F247AF"/>
    <w:rsid w:val="00F33000"/>
    <w:rsid w:val="00F375E4"/>
    <w:rsid w:val="00F86F35"/>
    <w:rsid w:val="00F97D4E"/>
    <w:rsid w:val="00FC57C2"/>
    <w:rsid w:val="00FE775A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81C7"/>
  <w15:docId w15:val="{46499028-BD22-4AFE-B40B-B49E8541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8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2F7814"/>
    <w:rPr>
      <w:rFonts w:ascii="UkrainianBaltica" w:hAnsi="UkrainianBaltica"/>
      <w:sz w:val="24"/>
      <w:lang w:eastAsia="ru-RU"/>
    </w:rPr>
  </w:style>
  <w:style w:type="table" w:styleId="a4">
    <w:name w:val="Table Grid"/>
    <w:basedOn w:val="a1"/>
    <w:uiPriority w:val="59"/>
    <w:rsid w:val="00444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44ACF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CE77D5"/>
  </w:style>
  <w:style w:type="paragraph" w:customStyle="1" w:styleId="rvps12">
    <w:name w:val="rvps12"/>
    <w:basedOn w:val="a"/>
    <w:rsid w:val="002333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rsid w:val="002333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0C187B"/>
  </w:style>
  <w:style w:type="paragraph" w:styleId="a7">
    <w:name w:val="header"/>
    <w:basedOn w:val="a"/>
    <w:link w:val="a8"/>
    <w:uiPriority w:val="99"/>
    <w:unhideWhenUsed/>
    <w:rsid w:val="00DC1B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C1B7E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DC1B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C1B7E"/>
    <w:rPr>
      <w:sz w:val="22"/>
      <w:szCs w:val="22"/>
      <w:lang w:val="ru-RU" w:eastAsia="en-US"/>
    </w:rPr>
  </w:style>
  <w:style w:type="character" w:customStyle="1" w:styleId="FontStyle41">
    <w:name w:val="Font Style41"/>
    <w:uiPriority w:val="99"/>
    <w:rsid w:val="00337AE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9F2A-8CDD-4685-B398-7BCA5CA8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17718</Words>
  <Characters>10100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Gryhorash</cp:lastModifiedBy>
  <cp:revision>2</cp:revision>
  <cp:lastPrinted>2022-06-08T07:36:00Z</cp:lastPrinted>
  <dcterms:created xsi:type="dcterms:W3CDTF">2022-08-08T07:54:00Z</dcterms:created>
  <dcterms:modified xsi:type="dcterms:W3CDTF">2022-08-08T07:54:00Z</dcterms:modified>
</cp:coreProperties>
</file>