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AB6754" w:rsidRDefault="002A51A8" w:rsidP="002A51A8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AB6754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AB6754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0E0A4C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AB6754" w14:paraId="4EDBA8FB" w14:textId="77777777" w:rsidTr="00280876">
        <w:tc>
          <w:tcPr>
            <w:tcW w:w="468" w:type="dxa"/>
          </w:tcPr>
          <w:p w14:paraId="7A014385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617BB65C" w:rsidR="002A51A8" w:rsidRPr="000E0A4C" w:rsidRDefault="008E5F8A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21 грудня</w:t>
            </w:r>
          </w:p>
        </w:tc>
        <w:tc>
          <w:tcPr>
            <w:tcW w:w="1984" w:type="dxa"/>
          </w:tcPr>
          <w:p w14:paraId="0ED75CF7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0E0A4C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AB6754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67104D71" w:rsidR="002A51A8" w:rsidRPr="00AB6754" w:rsidRDefault="008E5F8A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451/1</w:t>
            </w:r>
          </w:p>
        </w:tc>
      </w:tr>
    </w:tbl>
    <w:p w14:paraId="5BEE80D2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441A3B50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75BC8B6F" w:rsidR="002A51A8" w:rsidRPr="00AB6754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з метою проведення</w:t>
      </w:r>
      <w:r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AB6754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D5579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603F5E6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2-</w:t>
      </w:r>
      <w:r w:rsidR="00BF6F81">
        <w:rPr>
          <w:rFonts w:cs="Times New Roman"/>
          <w:szCs w:val="28"/>
          <w:lang w:val="uk-UA"/>
        </w:rPr>
        <w:t>6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AB6754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D5579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AB6754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AB6754" w:rsidRDefault="002A51A8" w:rsidP="002A51A8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DA44F3" w14:textId="77777777" w:rsidR="00B15BEE" w:rsidRDefault="00B15BEE" w:rsidP="002A51A8">
      <w:pPr>
        <w:rPr>
          <w:rFonts w:cs="Times New Roman"/>
        </w:rPr>
      </w:pPr>
    </w:p>
    <w:p w14:paraId="43AA24E7" w14:textId="77777777" w:rsidR="002A51A8" w:rsidRPr="00B1047B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AB6754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AB6754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0D2DA30B" w:rsidR="002A51A8" w:rsidRPr="00AB6754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8E5F8A">
              <w:rPr>
                <w:rFonts w:ascii="Times New Roman" w:hAnsi="Times New Roman" w:cs="Times New Roman"/>
              </w:rPr>
              <w:t>21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6F81">
              <w:rPr>
                <w:rFonts w:ascii="Times New Roman" w:hAnsi="Times New Roman" w:cs="Times New Roman"/>
              </w:rPr>
              <w:t>2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8E5F8A">
              <w:rPr>
                <w:rFonts w:ascii="Times New Roman" w:hAnsi="Times New Roman" w:cs="Times New Roman"/>
                <w:spacing w:val="-4"/>
              </w:rPr>
              <w:t xml:space="preserve"> 451/1</w:t>
            </w:r>
          </w:p>
          <w:p w14:paraId="4CA033C5" w14:textId="77777777" w:rsidR="002A51A8" w:rsidRPr="00BF6F81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570F6E" w14:textId="77777777" w:rsidR="002A51A8" w:rsidRPr="00AB6754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</w:t>
      </w:r>
    </w:p>
    <w:p w14:paraId="647D387C" w14:textId="4066AFF5" w:rsidR="00BF6F81" w:rsidRPr="00BF6F81" w:rsidRDefault="002A51A8" w:rsidP="00BF6F81">
      <w:pPr>
        <w:pStyle w:val="a4"/>
        <w:jc w:val="center"/>
        <w:rPr>
          <w:rFonts w:ascii="Times New Roman" w:hAnsi="Times New Roman" w:cs="Times New Roman"/>
          <w:sz w:val="12"/>
          <w:szCs w:val="14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 </w:t>
      </w:r>
      <w:r w:rsidR="00BF6F81" w:rsidRPr="00BF6F81">
        <w:rPr>
          <w:rFonts w:cs="Times New Roman"/>
          <w:szCs w:val="28"/>
        </w:rPr>
        <w:t xml:space="preserve"> </w:t>
      </w: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1985"/>
        <w:gridCol w:w="2659"/>
        <w:gridCol w:w="2727"/>
      </w:tblGrid>
      <w:tr w:rsidR="00BF6F81" w:rsidRPr="00BF6F81" w14:paraId="4493D082" w14:textId="77777777" w:rsidTr="00327E64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DC3E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9FF47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BF6F8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2EF2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0D3CBFD3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BF6F8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C72F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457E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BF6F8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BF6F8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BF6F81" w:rsidRPr="00BF6F81" w14:paraId="4FDC55B4" w14:textId="77777777" w:rsidTr="00327E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2EDFB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9F75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Михайло-Борисі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2D49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2503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8F3F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Миргородський та Полтавський райони</w:t>
            </w:r>
          </w:p>
        </w:tc>
      </w:tr>
      <w:tr w:rsidR="00BF6F81" w:rsidRPr="00BF6F81" w14:paraId="5674A3BE" w14:textId="77777777" w:rsidTr="00327E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0EF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92CC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вденно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Свистунк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6B03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20FD5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2BA1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Миргородський район</w:t>
            </w:r>
          </w:p>
        </w:tc>
      </w:tr>
      <w:tr w:rsidR="00BF6F81" w:rsidRPr="00BF6F81" w14:paraId="46B296FE" w14:textId="77777777" w:rsidTr="00327E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8B36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B72A1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Площа Кі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eastAsia="ru-RU" w:bidi="uk-UA"/>
              </w:rPr>
              <w:t>тван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666D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нафта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3890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вивчення нафтогазоносних надр, у т.ч. ДПР, з подальшим видобуванням нафти, газу (промислова розробка родовищ)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5EBC4" w14:textId="27A91AD4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вано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Франк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область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="008D7C45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br/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вано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Франк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вський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Калуський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райони</w:t>
            </w:r>
          </w:p>
        </w:tc>
      </w:tr>
      <w:tr w:rsidR="00BF6F81" w:rsidRPr="00BF6F81" w14:paraId="35614F29" w14:textId="77777777" w:rsidTr="00327E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7717A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420A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вденно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Макарц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ка 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68F9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1583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2280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Полтавський район</w:t>
            </w:r>
          </w:p>
        </w:tc>
      </w:tr>
      <w:tr w:rsidR="00BF6F81" w:rsidRPr="00BF6F81" w14:paraId="4A41E54B" w14:textId="77777777" w:rsidTr="00327E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69662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1A2C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ваник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вське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EB77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A35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видобування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4543" w14:textId="77777777" w:rsidR="00BF6F81" w:rsidRPr="00BF6F81" w:rsidRDefault="00BF6F81" w:rsidP="00BF6F8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Льві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область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Дрогобицький</w:t>
            </w:r>
            <w:r w:rsidRPr="00BF6F8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F6F8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район</w:t>
            </w:r>
          </w:p>
        </w:tc>
      </w:tr>
    </w:tbl>
    <w:p w14:paraId="5D0652CC" w14:textId="77777777" w:rsidR="00BF6F81" w:rsidRPr="00BF6F81" w:rsidRDefault="00BF6F81" w:rsidP="00BF6F81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 w:val="2"/>
          <w:szCs w:val="2"/>
          <w:lang w:val="uk-UA" w:eastAsia="uk-UA" w:bidi="uk-UA"/>
        </w:rPr>
      </w:pPr>
    </w:p>
    <w:p w14:paraId="56A3532B" w14:textId="77777777" w:rsidR="00BF6F81" w:rsidRPr="00BF6F81" w:rsidRDefault="00BF6F81" w:rsidP="00BF6F81">
      <w:pPr>
        <w:rPr>
          <w:rFonts w:eastAsia="Courier New" w:cs="Times New Roman"/>
          <w:color w:val="000000"/>
          <w:sz w:val="24"/>
          <w:szCs w:val="24"/>
          <w:lang w:val="uk-UA" w:eastAsia="ru-RU" w:bidi="uk-UA"/>
        </w:rPr>
      </w:pPr>
      <w:r w:rsidRPr="00BF6F81">
        <w:rPr>
          <w:rFonts w:eastAsia="Courier New" w:cs="Times New Roman"/>
          <w:color w:val="000000"/>
          <w:sz w:val="24"/>
          <w:szCs w:val="24"/>
          <w:lang w:val="uk-UA" w:eastAsia="ru-RU" w:bidi="uk-UA"/>
        </w:rPr>
        <w:br w:type="page"/>
      </w: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F6F81" w:rsidRPr="00BF6F81" w14:paraId="7FA1713D" w14:textId="77777777" w:rsidTr="00327E64">
        <w:tc>
          <w:tcPr>
            <w:tcW w:w="3209" w:type="dxa"/>
          </w:tcPr>
          <w:p w14:paraId="52BA8A83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5960A106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6B0E506C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>Додаток 2</w:t>
            </w:r>
          </w:p>
          <w:p w14:paraId="1F3038FF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 xml:space="preserve">до наказу </w:t>
            </w:r>
            <w:r w:rsidRPr="00BF6F8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  <w:t>Держгеонадр</w:t>
            </w:r>
          </w:p>
          <w:p w14:paraId="1807488F" w14:textId="35E57B6B" w:rsidR="00BF6F81" w:rsidRPr="00BF6F81" w:rsidRDefault="008E5F8A" w:rsidP="00BF6F81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E5F8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21.12.2022 № 451/1</w:t>
            </w:r>
          </w:p>
          <w:p w14:paraId="6A775915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</w:tr>
    </w:tbl>
    <w:p w14:paraId="6F821F9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6E034D41" w14:textId="77777777" w:rsidR="00BF6F81" w:rsidRPr="00BF6F81" w:rsidRDefault="00BF6F81" w:rsidP="00BF6F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0FB7AFA0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BF6F81">
        <w:rPr>
          <w:rFonts w:eastAsia="Times New Roman" w:cs="Times New Roman"/>
          <w:b/>
          <w:sz w:val="24"/>
          <w:szCs w:val="24"/>
          <w:lang w:eastAsia="ru-RU"/>
        </w:rPr>
        <w:t>газу природного Михайло-Борисівської площі</w:t>
      </w:r>
    </w:p>
    <w:p w14:paraId="14D94E17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104CD59A" w14:textId="77777777" w:rsidTr="00327E64">
        <w:trPr>
          <w:trHeight w:val="377"/>
          <w:jc w:val="right"/>
        </w:trPr>
        <w:tc>
          <w:tcPr>
            <w:tcW w:w="568" w:type="dxa"/>
            <w:vAlign w:val="center"/>
          </w:tcPr>
          <w:p w14:paraId="6F958E56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57826C1B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417A332E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80A50B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EC750A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0F6CE34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5F586D9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5E702BC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F6F81" w:rsidRPr="00BF6F81" w14:paraId="1E2AF676" w14:textId="77777777" w:rsidTr="00327E64">
        <w:trPr>
          <w:trHeight w:val="377"/>
          <w:jc w:val="right"/>
        </w:trPr>
        <w:tc>
          <w:tcPr>
            <w:tcW w:w="568" w:type="dxa"/>
          </w:tcPr>
          <w:p w14:paraId="6EAB3A07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DE0A8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16463A0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F2DE53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EBFE07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2136C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6F81" w:rsidRPr="00BF6F81" w14:paraId="5CE0DA1E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713DD219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B202F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2729922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0D7DD5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4526AC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8D6516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70FD68A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44A3D9A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88E7D9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91C8891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AFEA1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75B4057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641836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A5B385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FE1B849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1D73CA1E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1D9B5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50DD4C8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54CD642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688243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9A36174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1677061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4F2B5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703F0E0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E0A502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CB1BCC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2C1A6CF4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4BDE6619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FFA77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43C79C8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BCBBD6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22E0FA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87834AD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0CD2A1D6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97566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53D96D3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40276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3358D3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7BD2276" w14:textId="77777777" w:rsidTr="00327E64">
        <w:trPr>
          <w:trHeight w:val="377"/>
          <w:jc w:val="right"/>
        </w:trPr>
        <w:tc>
          <w:tcPr>
            <w:tcW w:w="568" w:type="dxa"/>
          </w:tcPr>
          <w:p w14:paraId="4689B0AE" w14:textId="77777777" w:rsidR="00BF6F81" w:rsidRPr="00BF6F81" w:rsidRDefault="00BF6F81" w:rsidP="00BF6F8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4BE94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1A40985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B20214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AA8C5E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DDFBFCA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74A91136" w14:textId="77777777" w:rsidTr="00327E64">
        <w:trPr>
          <w:trHeight w:val="296"/>
          <w:jc w:val="right"/>
        </w:trPr>
        <w:tc>
          <w:tcPr>
            <w:tcW w:w="568" w:type="dxa"/>
            <w:vMerge w:val="restart"/>
          </w:tcPr>
          <w:p w14:paraId="1BCD87B2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DB6CF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1AEF12A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AB2D8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1FDF82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72673F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093ADB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31F3C27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6F78498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BF6F81" w:rsidRPr="00BF6F81" w14:paraId="4767E428" w14:textId="77777777" w:rsidTr="00327E64">
        <w:trPr>
          <w:trHeight w:val="567"/>
          <w:jc w:val="right"/>
        </w:trPr>
        <w:tc>
          <w:tcPr>
            <w:tcW w:w="568" w:type="dxa"/>
            <w:vMerge/>
          </w:tcPr>
          <w:p w14:paraId="150630BE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88A0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7989A4E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3089174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164DD58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058FB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572FF1B1" w14:textId="77777777" w:rsidTr="00327E64">
        <w:trPr>
          <w:trHeight w:val="479"/>
          <w:jc w:val="right"/>
        </w:trPr>
        <w:tc>
          <w:tcPr>
            <w:tcW w:w="568" w:type="dxa"/>
            <w:vMerge/>
          </w:tcPr>
          <w:p w14:paraId="77A8A998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7F2E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5639B89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F6B19D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ACA8A7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6ABD1BE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6557FF0C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E050D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678A2E0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13DDC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42F764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BD965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4E29D5A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35F72DF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BF6F81" w:rsidRPr="00BF6F81" w14:paraId="359A7C63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89A64E0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1CD31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1ADA306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F7EE71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273F56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71152BD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02A2A123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0C648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A7A4ED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12F61E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1CAAB1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D11CA82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7E9FF2E6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36646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16B5BCC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517C21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B7E7F4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E53E6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B97C21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57FCFF6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DF34F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50FEB4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565400A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A94D9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BF6F81" w:rsidRPr="00BF6F81" w14:paraId="23F91CCC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E92A96E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7AB06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4CCD8E1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04D2120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0A0A7D6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F7A5AC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70C5F4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26D280CC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A3DEE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4DAB71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52C3CB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D212C1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CA452E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94D014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50AEE81A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0AFCB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7D8DFF6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4B8CD79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383B6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DF012BA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A3675ED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56F85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1181E30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EEF003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1E94B0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116CAE7" w14:textId="77777777" w:rsidTr="00327E64">
        <w:trPr>
          <w:trHeight w:val="377"/>
          <w:jc w:val="right"/>
        </w:trPr>
        <w:tc>
          <w:tcPr>
            <w:tcW w:w="568" w:type="dxa"/>
          </w:tcPr>
          <w:p w14:paraId="1E0B32A1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A201C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182B57C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1D4673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C8923C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142DEE2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BF6F81" w:rsidRPr="00BF6F81" w14:paraId="1DA16A5E" w14:textId="77777777" w:rsidTr="00327E64">
        <w:trPr>
          <w:trHeight w:val="377"/>
          <w:jc w:val="right"/>
        </w:trPr>
        <w:tc>
          <w:tcPr>
            <w:tcW w:w="568" w:type="dxa"/>
          </w:tcPr>
          <w:p w14:paraId="2272CD3F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38AEB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7E94AC7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28A8BA8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C08A58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2C3401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77EFC4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547A5690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487851A0" w14:textId="77777777" w:rsidTr="00327E64">
        <w:trPr>
          <w:trHeight w:val="377"/>
          <w:jc w:val="right"/>
        </w:trPr>
        <w:tc>
          <w:tcPr>
            <w:tcW w:w="568" w:type="dxa"/>
          </w:tcPr>
          <w:p w14:paraId="7457B7EA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3771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E0B736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857201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1760A5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F6F81" w:rsidRPr="00BF6F81" w14:paraId="2C071547" w14:textId="77777777" w:rsidTr="00327E64">
        <w:trPr>
          <w:trHeight w:val="377"/>
          <w:jc w:val="right"/>
        </w:trPr>
        <w:tc>
          <w:tcPr>
            <w:tcW w:w="568" w:type="dxa"/>
          </w:tcPr>
          <w:p w14:paraId="4AE037AC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C4A57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10B9F5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5ED9F4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804679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BF6F81" w:rsidRPr="00BF6F81" w14:paraId="0D187874" w14:textId="77777777" w:rsidTr="00327E64">
        <w:trPr>
          <w:trHeight w:val="377"/>
          <w:jc w:val="right"/>
        </w:trPr>
        <w:tc>
          <w:tcPr>
            <w:tcW w:w="568" w:type="dxa"/>
          </w:tcPr>
          <w:p w14:paraId="26C7FD37" w14:textId="77777777" w:rsidR="00BF6F81" w:rsidRPr="00BF6F81" w:rsidRDefault="00BF6F81" w:rsidP="00BF6F81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49F83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6DC3B8D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96AA5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71148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7ED1B4F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6F81" w:rsidRPr="00BF6F81" w14:paraId="2464EBD0" w14:textId="77777777" w:rsidTr="00327E64">
        <w:trPr>
          <w:trHeight w:val="539"/>
        </w:trPr>
        <w:tc>
          <w:tcPr>
            <w:tcW w:w="8961" w:type="dxa"/>
          </w:tcPr>
          <w:p w14:paraId="4E180B65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0B7A0D3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6459C38E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62B010D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1783551D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4EB75FD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F6F81" w:rsidRPr="00BF6F81" w14:paraId="1347DDD5" w14:textId="77777777" w:rsidTr="00327E64">
        <w:trPr>
          <w:trHeight w:val="1267"/>
          <w:jc w:val="center"/>
        </w:trPr>
        <w:tc>
          <w:tcPr>
            <w:tcW w:w="4509" w:type="dxa"/>
          </w:tcPr>
          <w:p w14:paraId="6BE43CF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E04316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1E88D3E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17F664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F839B3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6E67CA0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4715EC20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F1066D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2346DA9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03CB66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42FA986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F6F81" w:rsidRPr="00BF6F81" w14:paraId="2CF8423D" w14:textId="77777777" w:rsidTr="00327E64">
        <w:tc>
          <w:tcPr>
            <w:tcW w:w="3209" w:type="dxa"/>
          </w:tcPr>
          <w:p w14:paraId="1387546C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49BE6570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284647FD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>Додаток 3</w:t>
            </w:r>
          </w:p>
          <w:p w14:paraId="2B4487A2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 xml:space="preserve">до наказу </w:t>
            </w:r>
            <w:r w:rsidRPr="00BF6F8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  <w:t>Держгеонадр</w:t>
            </w:r>
          </w:p>
          <w:p w14:paraId="7F1419B4" w14:textId="796F9C8F" w:rsidR="00BF6F81" w:rsidRPr="00BF6F81" w:rsidRDefault="008E5F8A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</w:pPr>
            <w:r w:rsidRPr="008E5F8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  <w:t>від 21.12.2022 № 451/1</w:t>
            </w:r>
          </w:p>
          <w:p w14:paraId="412B1603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</w:tr>
    </w:tbl>
    <w:p w14:paraId="4B11ED22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09C31C6D" w14:textId="77777777" w:rsidR="00BF6F81" w:rsidRPr="00BF6F81" w:rsidRDefault="00BF6F81" w:rsidP="00BF6F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1D264ABB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BF6F81">
        <w:rPr>
          <w:rFonts w:eastAsia="Times New Roman" w:cs="Times New Roman"/>
          <w:b/>
          <w:sz w:val="24"/>
          <w:szCs w:val="24"/>
          <w:lang w:eastAsia="ru-RU"/>
        </w:rPr>
        <w:t>газу природного Південно-Свистунківської площі</w:t>
      </w:r>
    </w:p>
    <w:p w14:paraId="610DA633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6EEF9367" w14:textId="77777777" w:rsidTr="00327E64">
        <w:trPr>
          <w:trHeight w:val="377"/>
          <w:jc w:val="right"/>
        </w:trPr>
        <w:tc>
          <w:tcPr>
            <w:tcW w:w="568" w:type="dxa"/>
            <w:vAlign w:val="center"/>
          </w:tcPr>
          <w:p w14:paraId="63ADCA31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1D32A793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3B5369DA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A10938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8F993B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59A59BB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415498F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657C5C5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F6F81" w:rsidRPr="00BF6F81" w14:paraId="07A6A34B" w14:textId="77777777" w:rsidTr="00327E64">
        <w:trPr>
          <w:trHeight w:val="377"/>
          <w:jc w:val="right"/>
        </w:trPr>
        <w:tc>
          <w:tcPr>
            <w:tcW w:w="568" w:type="dxa"/>
          </w:tcPr>
          <w:p w14:paraId="77F6C4C9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E8424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7943E0A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C0F5E3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49DFFC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C6A5E0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6F81" w:rsidRPr="00BF6F81" w14:paraId="47160D5F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1ED318D0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6BAF9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753D01E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07E31D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44BC16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94674C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0EFA447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32216B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ECD22A8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40BE24F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F5C0A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5CEC72E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5FFDBA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39AA58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72959F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EB74F2F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65BB3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1ECBA0E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4E927D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FAA66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6A212A9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186C3850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B90CA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782780B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E80E33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199717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99AE8C8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12B2949F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FC463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541E9D7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58CF21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B305E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350C273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16E0E5C0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DAA6D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7B3FEA8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E16695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CD3C59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AD5B39A" w14:textId="77777777" w:rsidTr="00327E64">
        <w:trPr>
          <w:trHeight w:val="377"/>
          <w:jc w:val="right"/>
        </w:trPr>
        <w:tc>
          <w:tcPr>
            <w:tcW w:w="568" w:type="dxa"/>
          </w:tcPr>
          <w:p w14:paraId="4C4061E9" w14:textId="77777777" w:rsidR="00BF6F81" w:rsidRPr="00BF6F81" w:rsidRDefault="00BF6F81" w:rsidP="00BF6F8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F900F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57A6BBA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78D64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0C1EE0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357D6BD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20517FB6" w14:textId="77777777" w:rsidTr="00327E64">
        <w:trPr>
          <w:trHeight w:val="296"/>
          <w:jc w:val="right"/>
        </w:trPr>
        <w:tc>
          <w:tcPr>
            <w:tcW w:w="568" w:type="dxa"/>
            <w:vMerge w:val="restart"/>
          </w:tcPr>
          <w:p w14:paraId="1BD5E88E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47458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61436A3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24EAAE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EFF417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17FABF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09F57AA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2970050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497ECB7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BF6F81" w:rsidRPr="00BF6F81" w14:paraId="0FC07594" w14:textId="77777777" w:rsidTr="00327E64">
        <w:trPr>
          <w:trHeight w:val="567"/>
          <w:jc w:val="right"/>
        </w:trPr>
        <w:tc>
          <w:tcPr>
            <w:tcW w:w="568" w:type="dxa"/>
            <w:vMerge/>
          </w:tcPr>
          <w:p w14:paraId="719D21E9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2ADBB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6B3B968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80AA8D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BFBF3E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BC7EC4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E6EC4A3" w14:textId="77777777" w:rsidTr="00327E64">
        <w:trPr>
          <w:trHeight w:val="479"/>
          <w:jc w:val="right"/>
        </w:trPr>
        <w:tc>
          <w:tcPr>
            <w:tcW w:w="568" w:type="dxa"/>
            <w:vMerge/>
          </w:tcPr>
          <w:p w14:paraId="656B6610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374F9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8F58DF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F54912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A515D2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864373E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4A7A482D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2FD19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587A51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FD5D93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9FA2B9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6D66B37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1800C3B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7061F0E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BF6F81" w:rsidRPr="00BF6F81" w14:paraId="714FAF07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7A837A4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6B5AA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7080BA5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15796C0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E3138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11F3AE2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18FA872C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205E8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AD8309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2CC39B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CEF1C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798D67D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0622E225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4A6A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8E2A2C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98BA6C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D8AF6A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24C83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920FF1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51E7799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3053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112413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245B9E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CC8F0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BF6F81" w:rsidRPr="00BF6F81" w14:paraId="173F2E43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D696168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CAD77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46B957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4F5FF21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2ED8507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B9326A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2596FCB3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DDE8665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D6CA8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27245E0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393738B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16876A9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4121A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5509257E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2C69374B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7B110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1B49697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6A6033A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7AB633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689B9C7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5AF032AE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D52A3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4BC1FE4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C4523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33600AC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DC877D3" w14:textId="77777777" w:rsidTr="00327E64">
        <w:trPr>
          <w:trHeight w:val="377"/>
          <w:jc w:val="right"/>
        </w:trPr>
        <w:tc>
          <w:tcPr>
            <w:tcW w:w="568" w:type="dxa"/>
          </w:tcPr>
          <w:p w14:paraId="6CA8C016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DE000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FB500D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DEEE7B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13C319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6D4867F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BF6F81" w:rsidRPr="00BF6F81" w14:paraId="7FB16C7D" w14:textId="77777777" w:rsidTr="00327E64">
        <w:trPr>
          <w:trHeight w:val="377"/>
          <w:jc w:val="right"/>
        </w:trPr>
        <w:tc>
          <w:tcPr>
            <w:tcW w:w="568" w:type="dxa"/>
          </w:tcPr>
          <w:p w14:paraId="5EA98316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16CDF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DE94B7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9FFCA1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4F8123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BDED3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E550BC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549BF524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25F99FFF" w14:textId="77777777" w:rsidTr="00327E64">
        <w:trPr>
          <w:trHeight w:val="377"/>
          <w:jc w:val="right"/>
        </w:trPr>
        <w:tc>
          <w:tcPr>
            <w:tcW w:w="568" w:type="dxa"/>
          </w:tcPr>
          <w:p w14:paraId="7E18381F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2DF97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8C936E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1A4C3DD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9ED76F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F6F81" w:rsidRPr="00BF6F81" w14:paraId="75A1A3F9" w14:textId="77777777" w:rsidTr="00327E64">
        <w:trPr>
          <w:trHeight w:val="377"/>
          <w:jc w:val="right"/>
        </w:trPr>
        <w:tc>
          <w:tcPr>
            <w:tcW w:w="568" w:type="dxa"/>
          </w:tcPr>
          <w:p w14:paraId="747BD160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1C449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508114E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30AA70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4AB750C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BF6F81" w:rsidRPr="00BF6F81" w14:paraId="6F0E7F73" w14:textId="77777777" w:rsidTr="00327E64">
        <w:trPr>
          <w:trHeight w:val="377"/>
          <w:jc w:val="right"/>
        </w:trPr>
        <w:tc>
          <w:tcPr>
            <w:tcW w:w="568" w:type="dxa"/>
          </w:tcPr>
          <w:p w14:paraId="551C9093" w14:textId="77777777" w:rsidR="00BF6F81" w:rsidRPr="00BF6F81" w:rsidRDefault="00BF6F81" w:rsidP="00BF6F81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E340D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003ACE4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B0905C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430CBF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1A3C571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6F81" w:rsidRPr="00BF6F81" w14:paraId="3A94F45A" w14:textId="77777777" w:rsidTr="00327E64">
        <w:trPr>
          <w:trHeight w:val="539"/>
        </w:trPr>
        <w:tc>
          <w:tcPr>
            <w:tcW w:w="8961" w:type="dxa"/>
          </w:tcPr>
          <w:p w14:paraId="17E6C296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0AC3C02C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12B01CFF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0955214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21EA74F1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7F6F0060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F6F81" w:rsidRPr="00BF6F81" w14:paraId="0FE81B8A" w14:textId="77777777" w:rsidTr="00327E64">
        <w:trPr>
          <w:trHeight w:val="1267"/>
          <w:jc w:val="center"/>
        </w:trPr>
        <w:tc>
          <w:tcPr>
            <w:tcW w:w="4509" w:type="dxa"/>
          </w:tcPr>
          <w:p w14:paraId="606E615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599AAE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33E9817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35D9654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85CE49C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EBB3B8C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56754104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6B4C260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635B7969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474DAB0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9A7FFD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D0FC1F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08FE94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BF63C5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0768C42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EEF9CF6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65732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3FFFE6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ECEAD46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9DA2EB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23E3B74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87BB45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CC280B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CCFCF47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B4FD3D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07F0BD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4F51EA0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F6F81" w:rsidRPr="00BF6F81" w14:paraId="2EAB8E3C" w14:textId="77777777" w:rsidTr="00327E64">
        <w:tc>
          <w:tcPr>
            <w:tcW w:w="3209" w:type="dxa"/>
          </w:tcPr>
          <w:p w14:paraId="1968CAF0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643E259D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3F35DC5D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>Додаток 4</w:t>
            </w:r>
          </w:p>
          <w:p w14:paraId="1053BDF2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 xml:space="preserve">до наказу </w:t>
            </w:r>
            <w:r w:rsidRPr="00BF6F8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  <w:t>Держгеонадр</w:t>
            </w:r>
          </w:p>
          <w:p w14:paraId="77AA9E70" w14:textId="24FBE379" w:rsidR="00BF6F81" w:rsidRPr="00BF6F81" w:rsidRDefault="008E5F8A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</w:pPr>
            <w:r w:rsidRPr="008E5F8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  <w:t>від 21.12.2022 № 451/1</w:t>
            </w:r>
          </w:p>
          <w:p w14:paraId="678D315C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</w:tr>
    </w:tbl>
    <w:p w14:paraId="067C5849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6B539CBE" w14:textId="77777777" w:rsidR="00BF6F81" w:rsidRPr="00BF6F81" w:rsidRDefault="00BF6F81" w:rsidP="00BF6F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01B11605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BF6F81">
        <w:rPr>
          <w:rFonts w:eastAsia="Times New Roman" w:cs="Times New Roman"/>
          <w:b/>
          <w:sz w:val="24"/>
          <w:szCs w:val="24"/>
          <w:lang w:eastAsia="ru-RU"/>
        </w:rPr>
        <w:t>нафти</w:t>
      </w:r>
      <w:r w:rsidRPr="00BF6F81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BF6F81">
        <w:rPr>
          <w:rFonts w:eastAsia="Times New Roman" w:cs="Times New Roman"/>
          <w:b/>
          <w:sz w:val="24"/>
          <w:szCs w:val="24"/>
          <w:lang w:eastAsia="ru-RU"/>
        </w:rPr>
        <w:t>площі Кітван</w:t>
      </w:r>
    </w:p>
    <w:p w14:paraId="01A66E00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6FFAB24D" w14:textId="77777777" w:rsidTr="00327E64">
        <w:trPr>
          <w:trHeight w:val="377"/>
          <w:jc w:val="right"/>
        </w:trPr>
        <w:tc>
          <w:tcPr>
            <w:tcW w:w="568" w:type="dxa"/>
            <w:vAlign w:val="center"/>
          </w:tcPr>
          <w:p w14:paraId="68D6A19C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0D02C392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3E157FF8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9DB355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99957A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1AC4FC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1218DD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5EEAC7A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F6F81" w:rsidRPr="00BF6F81" w14:paraId="1A122803" w14:textId="77777777" w:rsidTr="00327E64">
        <w:trPr>
          <w:trHeight w:val="377"/>
          <w:jc w:val="right"/>
        </w:trPr>
        <w:tc>
          <w:tcPr>
            <w:tcW w:w="568" w:type="dxa"/>
          </w:tcPr>
          <w:p w14:paraId="7F97233D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2FD15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197E21D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6E5E4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C789B2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9E4656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6F81" w:rsidRPr="00BF6F81" w14:paraId="471C78E7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4595B289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EF1B7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61FE95E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ECA872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AB0C0A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9DAE74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4DE7AC9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4BD50B3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C506CEF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2A56FEAD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74F4A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2FD9D72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31EAC2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BF69F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56ECB6C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4700EF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FB53E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49CF936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B5683E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10EF23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6CD06F7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767EC4D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52C39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1A26ADB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8E2CC9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FCFED3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B7DF66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72910858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FA174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555BA34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793EC9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0E8BBE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3BC994A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A625A3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2C659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744262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1B9FF7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789924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5DB3BBD" w14:textId="77777777" w:rsidTr="00327E64">
        <w:trPr>
          <w:trHeight w:val="377"/>
          <w:jc w:val="right"/>
        </w:trPr>
        <w:tc>
          <w:tcPr>
            <w:tcW w:w="568" w:type="dxa"/>
          </w:tcPr>
          <w:p w14:paraId="75515EE8" w14:textId="77777777" w:rsidR="00BF6F81" w:rsidRPr="00BF6F81" w:rsidRDefault="00BF6F81" w:rsidP="00BF6F8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B2DED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621CDCC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4E172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6DC209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8F974E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4EEBF9DD" w14:textId="77777777" w:rsidTr="00327E64">
        <w:trPr>
          <w:trHeight w:val="296"/>
          <w:jc w:val="right"/>
        </w:trPr>
        <w:tc>
          <w:tcPr>
            <w:tcW w:w="568" w:type="dxa"/>
            <w:vMerge w:val="restart"/>
          </w:tcPr>
          <w:p w14:paraId="3DAC566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7BFA8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0A45B9C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FF3A5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12247B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B272F1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79469B3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24BD4B3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0CFC87A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BF6F81" w:rsidRPr="00BF6F81" w14:paraId="6A93300F" w14:textId="77777777" w:rsidTr="00327E64">
        <w:trPr>
          <w:trHeight w:val="567"/>
          <w:jc w:val="right"/>
        </w:trPr>
        <w:tc>
          <w:tcPr>
            <w:tcW w:w="568" w:type="dxa"/>
            <w:vMerge/>
          </w:tcPr>
          <w:p w14:paraId="4DDD6CF9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AA768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2093073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388BCD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FC0971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A70F5D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1F6AE2F" w14:textId="77777777" w:rsidTr="00327E64">
        <w:trPr>
          <w:trHeight w:val="479"/>
          <w:jc w:val="right"/>
        </w:trPr>
        <w:tc>
          <w:tcPr>
            <w:tcW w:w="568" w:type="dxa"/>
            <w:vMerge/>
          </w:tcPr>
          <w:p w14:paraId="2BA7A730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C599F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0CB0045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A3BAF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F47D65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AC861E8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2F850E1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7ACAC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67C2B54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3B1FF8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EA391A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741706A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32666EB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1EB116E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BF6F81" w:rsidRPr="00BF6F81" w14:paraId="76633F42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4460A76B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039F2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64FE12A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21E8F4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96C2F6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C4C19EE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587ECAB3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331B7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AB1169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6BC9CC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CD8980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4A25FFC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1E8BA8E3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DAD5B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C46CC9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3238C5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5CC4E2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E033B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92D011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6E8FDB1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D51EB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4E07CA5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1BE9409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60DA4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BF6F81" w:rsidRPr="00BF6F81" w14:paraId="44648A7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24491500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B75B4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F36323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0D3196B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426FB46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269EAE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8428C01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01FB637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9E39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400D84C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1AAB38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CB5626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58E1ED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7EA6049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6C01D109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BD3BD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22AD341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69B35A4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09B111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64FA2A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757CC9AD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51E71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141C015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16CADE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158CA2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49642B1" w14:textId="77777777" w:rsidTr="00327E64">
        <w:trPr>
          <w:trHeight w:val="377"/>
          <w:jc w:val="right"/>
        </w:trPr>
        <w:tc>
          <w:tcPr>
            <w:tcW w:w="568" w:type="dxa"/>
          </w:tcPr>
          <w:p w14:paraId="081F4612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CFE7D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6CFF2CD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468950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B2A859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7952B27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BF6F81" w:rsidRPr="00BF6F81" w14:paraId="468BF72E" w14:textId="77777777" w:rsidTr="00327E64">
        <w:trPr>
          <w:trHeight w:val="377"/>
          <w:jc w:val="right"/>
        </w:trPr>
        <w:tc>
          <w:tcPr>
            <w:tcW w:w="568" w:type="dxa"/>
          </w:tcPr>
          <w:p w14:paraId="4389860C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E85D0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6462AF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CEA1F0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CB4B08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AE4D70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819F2F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029671B0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2A89D50C" w14:textId="77777777" w:rsidTr="00327E64">
        <w:trPr>
          <w:trHeight w:val="377"/>
          <w:jc w:val="right"/>
        </w:trPr>
        <w:tc>
          <w:tcPr>
            <w:tcW w:w="568" w:type="dxa"/>
          </w:tcPr>
          <w:p w14:paraId="60941579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08A71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62FDF51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43AF685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B4393C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F6F81" w:rsidRPr="00BF6F81" w14:paraId="0134F62D" w14:textId="77777777" w:rsidTr="00327E64">
        <w:trPr>
          <w:trHeight w:val="377"/>
          <w:jc w:val="right"/>
        </w:trPr>
        <w:tc>
          <w:tcPr>
            <w:tcW w:w="568" w:type="dxa"/>
          </w:tcPr>
          <w:p w14:paraId="04BF0255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C9299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64DF80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830DA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538056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BF6F81" w:rsidRPr="00BF6F81" w14:paraId="7FDB92BA" w14:textId="77777777" w:rsidTr="00327E64">
        <w:trPr>
          <w:trHeight w:val="377"/>
          <w:jc w:val="right"/>
        </w:trPr>
        <w:tc>
          <w:tcPr>
            <w:tcW w:w="568" w:type="dxa"/>
          </w:tcPr>
          <w:p w14:paraId="67D4CC3A" w14:textId="77777777" w:rsidR="00BF6F81" w:rsidRPr="00BF6F81" w:rsidRDefault="00BF6F81" w:rsidP="00BF6F81">
            <w:pPr>
              <w:widowControl w:val="0"/>
              <w:numPr>
                <w:ilvl w:val="0"/>
                <w:numId w:val="2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ABA98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7993B14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03E5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A7CC69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2598DDC9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6F81" w:rsidRPr="00BF6F81" w14:paraId="3397872E" w14:textId="77777777" w:rsidTr="00327E64">
        <w:trPr>
          <w:trHeight w:val="539"/>
        </w:trPr>
        <w:tc>
          <w:tcPr>
            <w:tcW w:w="8961" w:type="dxa"/>
          </w:tcPr>
          <w:p w14:paraId="7481375E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1C35F8B4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5D92C610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62C54840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4571A36E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5729CFD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F6F81" w:rsidRPr="00BF6F81" w14:paraId="5A6B67D8" w14:textId="77777777" w:rsidTr="00327E64">
        <w:trPr>
          <w:trHeight w:val="1267"/>
          <w:jc w:val="center"/>
        </w:trPr>
        <w:tc>
          <w:tcPr>
            <w:tcW w:w="4509" w:type="dxa"/>
          </w:tcPr>
          <w:p w14:paraId="7A176D07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FBEA465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FB5A475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67320C0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9BC5685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94FEE0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657BB97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5687B917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2FD4888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0786E02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C52706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1AF8572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59F58A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D19E51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577D54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13D670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BA70CE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2A7CA9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A132127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AEB8E0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B4EA4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C8D6F8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8FD5D7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AF8B2D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1F1DCE9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6B4CBA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0F6C7E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F6F81" w:rsidRPr="00BF6F81" w14:paraId="10786954" w14:textId="77777777" w:rsidTr="00327E64">
        <w:tc>
          <w:tcPr>
            <w:tcW w:w="3209" w:type="dxa"/>
          </w:tcPr>
          <w:p w14:paraId="4AC8F594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1A82023D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089C9EFA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>Додаток 5</w:t>
            </w:r>
          </w:p>
          <w:p w14:paraId="7B8B94DD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 xml:space="preserve">до наказу </w:t>
            </w:r>
            <w:r w:rsidRPr="00BF6F8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  <w:t>Держгеонадр</w:t>
            </w:r>
          </w:p>
          <w:p w14:paraId="34DADD65" w14:textId="446F1735" w:rsidR="00BF6F81" w:rsidRPr="00BF6F81" w:rsidRDefault="008E5F8A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</w:pPr>
            <w:r w:rsidRPr="008E5F8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  <w:t>від 21.12.2022 № 451/1</w:t>
            </w:r>
          </w:p>
          <w:p w14:paraId="4B6C2FF3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</w:tr>
    </w:tbl>
    <w:p w14:paraId="766D6C24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5EDA9CD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03C08076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BF6F81">
        <w:rPr>
          <w:rFonts w:eastAsia="Times New Roman" w:cs="Times New Roman"/>
          <w:b/>
          <w:sz w:val="24"/>
          <w:szCs w:val="24"/>
          <w:lang w:eastAsia="ru-RU"/>
        </w:rPr>
        <w:t>газу природного, конденсату Південно-Макарцівської площі</w:t>
      </w:r>
    </w:p>
    <w:p w14:paraId="0B0CEEDC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1BC5FF8F" w14:textId="77777777" w:rsidTr="00327E64">
        <w:trPr>
          <w:trHeight w:val="377"/>
          <w:jc w:val="right"/>
        </w:trPr>
        <w:tc>
          <w:tcPr>
            <w:tcW w:w="568" w:type="dxa"/>
            <w:vAlign w:val="center"/>
          </w:tcPr>
          <w:p w14:paraId="0A34260C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0DA44FB6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7392B92E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ED6FF2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907C5F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3A43BC6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539E88B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03EFA62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F6F81" w:rsidRPr="00BF6F81" w14:paraId="4BD0C97F" w14:textId="77777777" w:rsidTr="00327E64">
        <w:trPr>
          <w:trHeight w:val="377"/>
          <w:jc w:val="right"/>
        </w:trPr>
        <w:tc>
          <w:tcPr>
            <w:tcW w:w="568" w:type="dxa"/>
          </w:tcPr>
          <w:p w14:paraId="15E9DF2D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238D1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16E8EA6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076121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CA1DD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8B8278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6F81" w:rsidRPr="00BF6F81" w14:paraId="3685ECF5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23CEDF2F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54E3F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1DB974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EB8796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615F86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3E8344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7E29867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1A186FC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60BFCD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4AE0328B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FFD9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13492AD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8FD84A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0D6A88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D323836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04EE9321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8F0B1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3DAA453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482EBF4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46CCE4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D301A88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2AA32EDC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496D1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08EAC38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15CDAE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246B23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0A4EDB3E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976CDD7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C383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7096C48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2FDF1D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32AE2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5B2504C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0E3D964B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BB7AA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125C8C5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37FD5D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3A9D5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802CDB1" w14:textId="77777777" w:rsidTr="00327E64">
        <w:trPr>
          <w:trHeight w:val="377"/>
          <w:jc w:val="right"/>
        </w:trPr>
        <w:tc>
          <w:tcPr>
            <w:tcW w:w="568" w:type="dxa"/>
          </w:tcPr>
          <w:p w14:paraId="74BF3099" w14:textId="77777777" w:rsidR="00BF6F81" w:rsidRPr="00BF6F81" w:rsidRDefault="00BF6F81" w:rsidP="00BF6F8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B8583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6C1E035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672D8A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EEE536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E99E461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4ECC454F" w14:textId="77777777" w:rsidTr="00327E64">
        <w:trPr>
          <w:trHeight w:val="296"/>
          <w:jc w:val="right"/>
        </w:trPr>
        <w:tc>
          <w:tcPr>
            <w:tcW w:w="568" w:type="dxa"/>
            <w:vMerge w:val="restart"/>
          </w:tcPr>
          <w:p w14:paraId="00DB385B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0DA9B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283597B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B0A4DF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55E4B6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4D7EC71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13A8AB0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48B6E89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2C04CA2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BF6F81" w:rsidRPr="00BF6F81" w14:paraId="0C24E6FA" w14:textId="77777777" w:rsidTr="00327E64">
        <w:trPr>
          <w:trHeight w:val="567"/>
          <w:jc w:val="right"/>
        </w:trPr>
        <w:tc>
          <w:tcPr>
            <w:tcW w:w="568" w:type="dxa"/>
            <w:vMerge/>
          </w:tcPr>
          <w:p w14:paraId="0D8BCD4E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4FE88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5F97550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BA7032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12FEB4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662821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D467AA6" w14:textId="77777777" w:rsidTr="00327E64">
        <w:trPr>
          <w:trHeight w:val="479"/>
          <w:jc w:val="right"/>
        </w:trPr>
        <w:tc>
          <w:tcPr>
            <w:tcW w:w="568" w:type="dxa"/>
            <w:vMerge/>
          </w:tcPr>
          <w:p w14:paraId="7EBDB0A6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2EDA7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76802B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E19406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9C8894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75D3CE7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53DC0BB1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B979E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585EB9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DAB7F1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7380F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CBECDD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0EEAC6E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5FDE89E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BF6F81" w:rsidRPr="00BF6F81" w14:paraId="343F1780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4EF66FE4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2F4E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34F59BC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4D66A5D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F432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1BCE8977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7375613D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2055E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88C326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5761E7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F7A8F0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2201C6A" w14:textId="77777777" w:rsidTr="00327E64">
        <w:trPr>
          <w:trHeight w:val="377"/>
          <w:jc w:val="right"/>
        </w:trPr>
        <w:tc>
          <w:tcPr>
            <w:tcW w:w="568" w:type="dxa"/>
            <w:vMerge w:val="restart"/>
          </w:tcPr>
          <w:p w14:paraId="5D7C666E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727FC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2B9BB0E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EDE8B0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A89323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5910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FE261E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7AD250E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7594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46D0530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410D950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1BC9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BF6F81" w:rsidRPr="00BF6F81" w14:paraId="43BE4A0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04EEE8E0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688F1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324694F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58CE7EC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04E1B1F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1743FB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7F1028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762A6E2A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D144F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7B50379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F72412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D39405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67248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F81573C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33FA79FD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26B84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0779303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4F3AE04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0BAF62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343C0F55" w14:textId="77777777" w:rsidTr="00327E64">
        <w:trPr>
          <w:trHeight w:val="377"/>
          <w:jc w:val="right"/>
        </w:trPr>
        <w:tc>
          <w:tcPr>
            <w:tcW w:w="568" w:type="dxa"/>
            <w:vMerge/>
          </w:tcPr>
          <w:p w14:paraId="5FFC6D50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A921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34C2879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5D9928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6D77F5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799DFDBA" w14:textId="77777777" w:rsidTr="00327E64">
        <w:trPr>
          <w:trHeight w:val="377"/>
          <w:jc w:val="right"/>
        </w:trPr>
        <w:tc>
          <w:tcPr>
            <w:tcW w:w="568" w:type="dxa"/>
          </w:tcPr>
          <w:p w14:paraId="7F24FF99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6E9A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33C2F2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6EAC0B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6EF1CF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6E381C2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BF6F81" w:rsidRPr="00BF6F81" w14:paraId="76932728" w14:textId="77777777" w:rsidTr="00327E64">
        <w:trPr>
          <w:trHeight w:val="377"/>
          <w:jc w:val="right"/>
        </w:trPr>
        <w:tc>
          <w:tcPr>
            <w:tcW w:w="568" w:type="dxa"/>
          </w:tcPr>
          <w:p w14:paraId="3D1BD3DD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9B928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E51760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56299F8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5D974E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266959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44867DC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065225C4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BF6F81" w:rsidRPr="00BF6F81" w14:paraId="0E350320" w14:textId="77777777" w:rsidTr="00327E64">
        <w:trPr>
          <w:trHeight w:val="377"/>
          <w:jc w:val="right"/>
        </w:trPr>
        <w:tc>
          <w:tcPr>
            <w:tcW w:w="568" w:type="dxa"/>
          </w:tcPr>
          <w:p w14:paraId="187F89FA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DCF10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0A17254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34FF0F1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7F35C9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F6F81" w:rsidRPr="00BF6F81" w14:paraId="7C8079F2" w14:textId="77777777" w:rsidTr="00327E64">
        <w:trPr>
          <w:trHeight w:val="377"/>
          <w:jc w:val="right"/>
        </w:trPr>
        <w:tc>
          <w:tcPr>
            <w:tcW w:w="568" w:type="dxa"/>
          </w:tcPr>
          <w:p w14:paraId="22C5A16B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CE419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0DB70EC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2BEC8B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C2758A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BF6F81" w:rsidRPr="00BF6F81" w14:paraId="57908A04" w14:textId="77777777" w:rsidTr="00327E64">
        <w:trPr>
          <w:trHeight w:val="377"/>
          <w:jc w:val="right"/>
        </w:trPr>
        <w:tc>
          <w:tcPr>
            <w:tcW w:w="568" w:type="dxa"/>
          </w:tcPr>
          <w:p w14:paraId="67D3281B" w14:textId="77777777" w:rsidR="00BF6F81" w:rsidRPr="00BF6F81" w:rsidRDefault="00BF6F81" w:rsidP="00BF6F81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B682E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36C9A64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0FBAB2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1E2096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5F0B991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F6F81" w:rsidRPr="00BF6F81" w14:paraId="08FD10BA" w14:textId="77777777" w:rsidTr="00327E64">
        <w:trPr>
          <w:trHeight w:val="539"/>
        </w:trPr>
        <w:tc>
          <w:tcPr>
            <w:tcW w:w="8961" w:type="dxa"/>
          </w:tcPr>
          <w:p w14:paraId="5AFDE053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5893B47B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357FB4D7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7F4973FE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3FF3D9F3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6F77740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F6F81" w:rsidRPr="00BF6F81" w14:paraId="1F98A77B" w14:textId="77777777" w:rsidTr="00327E64">
        <w:trPr>
          <w:trHeight w:val="1267"/>
          <w:jc w:val="center"/>
        </w:trPr>
        <w:tc>
          <w:tcPr>
            <w:tcW w:w="4509" w:type="dxa"/>
          </w:tcPr>
          <w:p w14:paraId="54AC17AC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915128D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87588BB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00B6227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FC11B14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E38AED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3E5DDBB2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31C2167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7DE525DA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5AEA0CB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FF781E7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53F738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E40D2FE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7EB5441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A0C36BB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19C53D0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5482F06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D40D88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BC0EEEB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39A88B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A7B71B5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CC5DA3C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D521374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0C112F2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A00A48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B4CE58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45CF71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F6F81" w:rsidRPr="00BF6F81" w14:paraId="735526A0" w14:textId="77777777" w:rsidTr="00327E64">
        <w:tc>
          <w:tcPr>
            <w:tcW w:w="3209" w:type="dxa"/>
          </w:tcPr>
          <w:p w14:paraId="1B97539A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176F0D25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  <w:tc>
          <w:tcPr>
            <w:tcW w:w="3210" w:type="dxa"/>
          </w:tcPr>
          <w:p w14:paraId="1A5801E3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>Додаток 6</w:t>
            </w:r>
          </w:p>
          <w:p w14:paraId="3D4D12D8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</w:pPr>
            <w:r w:rsidRPr="00BF6F81"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  <w:t xml:space="preserve">до наказу </w:t>
            </w:r>
            <w:r w:rsidRPr="00BF6F8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ru-RU" w:bidi="uk-UA"/>
              </w:rPr>
              <w:t>Держгеонадр</w:t>
            </w:r>
          </w:p>
          <w:p w14:paraId="50D8B6D8" w14:textId="284F07EC" w:rsidR="00BF6F81" w:rsidRPr="00BF6F81" w:rsidRDefault="008E5F8A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</w:pPr>
            <w:r w:rsidRPr="008E5F8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ru-RU" w:bidi="uk-UA"/>
              </w:rPr>
              <w:t>від 21.12.2022 № 451/1</w:t>
            </w:r>
            <w:bookmarkStart w:id="0" w:name="_GoBack"/>
            <w:bookmarkEnd w:id="0"/>
          </w:p>
          <w:p w14:paraId="24EB5629" w14:textId="77777777" w:rsidR="00BF6F81" w:rsidRPr="00BF6F81" w:rsidRDefault="00BF6F81" w:rsidP="00BF6F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ru-RU" w:bidi="uk-UA"/>
              </w:rPr>
            </w:pPr>
          </w:p>
        </w:tc>
      </w:tr>
    </w:tbl>
    <w:p w14:paraId="24B7D01F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0"/>
          <w:lang w:eastAsia="ru-RU"/>
        </w:rPr>
        <w:t>ПРОГРАМА РОБІТ</w:t>
      </w:r>
    </w:p>
    <w:p w14:paraId="3AB802D0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851" w:right="101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BF6F81">
        <w:rPr>
          <w:rFonts w:eastAsia="Times New Roman" w:cs="Times New Roman"/>
          <w:b/>
          <w:bCs/>
          <w:sz w:val="24"/>
          <w:szCs w:val="20"/>
          <w:lang w:eastAsia="ru-RU"/>
        </w:rPr>
        <w:t>з видобування нафти і газу (промислова розробка родовищ)</w:t>
      </w:r>
    </w:p>
    <w:p w14:paraId="4050BF54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ind w:left="-851" w:right="10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F81">
        <w:rPr>
          <w:rFonts w:eastAsia="Times New Roman" w:cs="Times New Roman"/>
          <w:b/>
          <w:sz w:val="24"/>
          <w:szCs w:val="24"/>
          <w:lang w:eastAsia="ru-RU"/>
        </w:rPr>
        <w:t>газу природного, конденсату Іваниківського родовища</w:t>
      </w:r>
    </w:p>
    <w:p w14:paraId="74C8C437" w14:textId="77777777" w:rsidR="00BF6F81" w:rsidRPr="00BF6F81" w:rsidRDefault="00BF6F81" w:rsidP="00BF6F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2"/>
          <w:szCs w:val="12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989"/>
        <w:gridCol w:w="1560"/>
        <w:gridCol w:w="1984"/>
      </w:tblGrid>
      <w:tr w:rsidR="00BF6F81" w:rsidRPr="00BF6F81" w14:paraId="026AF7E6" w14:textId="77777777" w:rsidTr="00BF6F81">
        <w:trPr>
          <w:trHeight w:val="377"/>
          <w:jc w:val="right"/>
        </w:trPr>
        <w:tc>
          <w:tcPr>
            <w:tcW w:w="562" w:type="dxa"/>
            <w:vAlign w:val="center"/>
          </w:tcPr>
          <w:p w14:paraId="551C75DA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3FE22069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61022B6B" w14:textId="77777777" w:rsidR="00BF6F81" w:rsidRPr="00BF6F81" w:rsidRDefault="00BF6F81" w:rsidP="00BF6F8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989" w:type="dxa"/>
            <w:vAlign w:val="center"/>
          </w:tcPr>
          <w:p w14:paraId="2B48887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560" w:type="dxa"/>
            <w:vAlign w:val="center"/>
          </w:tcPr>
          <w:p w14:paraId="18A7A92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984" w:type="dxa"/>
            <w:vAlign w:val="center"/>
          </w:tcPr>
          <w:p w14:paraId="7310FCE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6DC4266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190225A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F6F81" w:rsidRPr="00BF6F81" w14:paraId="7AA41388" w14:textId="77777777" w:rsidTr="00BF6F81">
        <w:trPr>
          <w:trHeight w:val="377"/>
          <w:jc w:val="right"/>
        </w:trPr>
        <w:tc>
          <w:tcPr>
            <w:tcW w:w="562" w:type="dxa"/>
          </w:tcPr>
          <w:p w14:paraId="5CB4D492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204BD0B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989" w:type="dxa"/>
            <w:vAlign w:val="center"/>
          </w:tcPr>
          <w:p w14:paraId="1792C7A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560" w:type="dxa"/>
            <w:vAlign w:val="center"/>
          </w:tcPr>
          <w:p w14:paraId="750172C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539E4AB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6F81" w:rsidRPr="00BF6F81" w14:paraId="68B0D35B" w14:textId="77777777" w:rsidTr="00BF6F81">
        <w:trPr>
          <w:trHeight w:val="377"/>
          <w:jc w:val="right"/>
        </w:trPr>
        <w:tc>
          <w:tcPr>
            <w:tcW w:w="562" w:type="dxa"/>
            <w:vMerge w:val="restart"/>
          </w:tcPr>
          <w:p w14:paraId="038E4132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367C72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989" w:type="dxa"/>
            <w:vAlign w:val="center"/>
          </w:tcPr>
          <w:p w14:paraId="3F4FC82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14:paraId="72BF829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3801108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BE3DDB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0FBC903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466D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6E19308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5-ти років****</w:t>
            </w:r>
          </w:p>
          <w:p w14:paraId="576855C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AFBB4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початку дії спеціального дозволу</w:t>
            </w:r>
          </w:p>
        </w:tc>
      </w:tr>
      <w:tr w:rsidR="00BF6F81" w:rsidRPr="00BF6F81" w14:paraId="2554A292" w14:textId="77777777" w:rsidTr="00BF6F81">
        <w:trPr>
          <w:trHeight w:val="1260"/>
          <w:jc w:val="right"/>
        </w:trPr>
        <w:tc>
          <w:tcPr>
            <w:tcW w:w="562" w:type="dxa"/>
            <w:vMerge/>
          </w:tcPr>
          <w:p w14:paraId="62A94337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2848A2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989" w:type="dxa"/>
            <w:vAlign w:val="center"/>
          </w:tcPr>
          <w:p w14:paraId="01B570C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28B393D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560" w:type="dxa"/>
            <w:vAlign w:val="center"/>
          </w:tcPr>
          <w:p w14:paraId="0C3BCFB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6D9C6ED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22B0F57B" w14:textId="77777777" w:rsidTr="00BF6F81">
        <w:trPr>
          <w:trHeight w:val="377"/>
          <w:jc w:val="right"/>
        </w:trPr>
        <w:tc>
          <w:tcPr>
            <w:tcW w:w="562" w:type="dxa"/>
            <w:vMerge/>
          </w:tcPr>
          <w:p w14:paraId="3AED6FB7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1E38D8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 та затвердження проекту промислової розробки родовища (технологічний проект (схему) промислової розробки родовища (покладу)) в порядку, встановленому законодавством</w:t>
            </w:r>
          </w:p>
        </w:tc>
        <w:tc>
          <w:tcPr>
            <w:tcW w:w="1989" w:type="dxa"/>
            <w:vAlign w:val="center"/>
          </w:tcPr>
          <w:p w14:paraId="51BA64C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76B8876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про затвердження проекту, направлений до Держгеонадр</w:t>
            </w:r>
          </w:p>
        </w:tc>
        <w:tc>
          <w:tcPr>
            <w:tcW w:w="1560" w:type="dxa"/>
            <w:vAlign w:val="center"/>
          </w:tcPr>
          <w:p w14:paraId="20301A5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707063C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5C2A688" w14:textId="77777777" w:rsidTr="00BF6F81">
        <w:trPr>
          <w:trHeight w:val="377"/>
          <w:jc w:val="right"/>
        </w:trPr>
        <w:tc>
          <w:tcPr>
            <w:tcW w:w="562" w:type="dxa"/>
            <w:vMerge/>
          </w:tcPr>
          <w:p w14:paraId="79C6330A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3A1122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2.3.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989" w:type="dxa"/>
            <w:vAlign w:val="center"/>
          </w:tcPr>
          <w:p w14:paraId="15421E0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560" w:type="dxa"/>
            <w:vAlign w:val="center"/>
          </w:tcPr>
          <w:p w14:paraId="24871E21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6E9BB02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69D5F3E4" w14:textId="77777777" w:rsidTr="00BF6F81">
        <w:trPr>
          <w:trHeight w:val="377"/>
          <w:jc w:val="right"/>
        </w:trPr>
        <w:tc>
          <w:tcPr>
            <w:tcW w:w="562" w:type="dxa"/>
            <w:vMerge/>
          </w:tcPr>
          <w:p w14:paraId="777B96BB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B52704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Облаштування родовища </w:t>
            </w:r>
          </w:p>
        </w:tc>
        <w:tc>
          <w:tcPr>
            <w:tcW w:w="1989" w:type="dxa"/>
            <w:vAlign w:val="center"/>
          </w:tcPr>
          <w:p w14:paraId="04AA46D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136B461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156BF65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F81" w:rsidRPr="00BF6F81" w14:paraId="4A1A183E" w14:textId="77777777" w:rsidTr="00BF6F81">
        <w:trPr>
          <w:trHeight w:val="425"/>
          <w:jc w:val="right"/>
        </w:trPr>
        <w:tc>
          <w:tcPr>
            <w:tcW w:w="562" w:type="dxa"/>
          </w:tcPr>
          <w:p w14:paraId="4FFA69F0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4BEFC8B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989" w:type="dxa"/>
            <w:vAlign w:val="center"/>
          </w:tcPr>
          <w:p w14:paraId="3DEB50F7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078DDFD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68D1C36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52412C8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3-го року/</w:t>
            </w:r>
          </w:p>
          <w:p w14:paraId="29559A5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0F0C5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605A494A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6-го року****</w:t>
            </w:r>
          </w:p>
          <w:p w14:paraId="02BA7F3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B01B7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</w:tbl>
    <w:p w14:paraId="6620F0F7" w14:textId="77777777" w:rsidR="00BF6F81" w:rsidRPr="00BF6F81" w:rsidRDefault="00BF6F81" w:rsidP="00BF6F81">
      <w:pPr>
        <w:rPr>
          <w:rFonts w:eastAsia="Calibri" w:cs="Times New Roman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89"/>
        <w:gridCol w:w="1706"/>
        <w:gridCol w:w="1560"/>
        <w:gridCol w:w="1984"/>
      </w:tblGrid>
      <w:tr w:rsidR="00BF6F81" w:rsidRPr="00BF6F81" w14:paraId="746484AE" w14:textId="77777777" w:rsidTr="00BF6F81">
        <w:trPr>
          <w:trHeight w:val="425"/>
          <w:jc w:val="right"/>
        </w:trPr>
        <w:tc>
          <w:tcPr>
            <w:tcW w:w="709" w:type="dxa"/>
          </w:tcPr>
          <w:p w14:paraId="18C929E5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</w:tcPr>
          <w:p w14:paraId="7858FAD3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706" w:type="dxa"/>
            <w:vAlign w:val="center"/>
          </w:tcPr>
          <w:p w14:paraId="089B592E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AB8FC2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5AF023F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560" w:type="dxa"/>
            <w:vAlign w:val="center"/>
          </w:tcPr>
          <w:p w14:paraId="15F5F1B2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17460618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  <w:tr w:rsidR="00BF6F81" w:rsidRPr="00BF6F81" w14:paraId="5D833B5C" w14:textId="77777777" w:rsidTr="00BF6F81">
        <w:trPr>
          <w:trHeight w:val="425"/>
          <w:jc w:val="right"/>
        </w:trPr>
        <w:tc>
          <w:tcPr>
            <w:tcW w:w="709" w:type="dxa"/>
          </w:tcPr>
          <w:p w14:paraId="4F430FBB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</w:tcPr>
          <w:p w14:paraId="5ABF50F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706" w:type="dxa"/>
            <w:vAlign w:val="center"/>
          </w:tcPr>
          <w:p w14:paraId="78924AB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560" w:type="dxa"/>
            <w:vAlign w:val="center"/>
          </w:tcPr>
          <w:p w14:paraId="1F48CAF6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69F04A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F6F81" w:rsidRPr="00BF6F81" w14:paraId="7E7D84D2" w14:textId="77777777" w:rsidTr="00BF6F81">
        <w:trPr>
          <w:trHeight w:val="425"/>
          <w:jc w:val="right"/>
        </w:trPr>
        <w:tc>
          <w:tcPr>
            <w:tcW w:w="709" w:type="dxa"/>
          </w:tcPr>
          <w:p w14:paraId="0E892273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</w:tcPr>
          <w:p w14:paraId="3DFB4A14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706" w:type="dxa"/>
            <w:vAlign w:val="center"/>
          </w:tcPr>
          <w:p w14:paraId="6C55B2D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форми звітності</w:t>
            </w:r>
          </w:p>
        </w:tc>
        <w:tc>
          <w:tcPr>
            <w:tcW w:w="1560" w:type="dxa"/>
            <w:vAlign w:val="center"/>
          </w:tcPr>
          <w:p w14:paraId="2EBB9AB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6E2AE419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щорічно, протягом строку дії спеціального дозволу</w:t>
            </w:r>
          </w:p>
        </w:tc>
      </w:tr>
      <w:tr w:rsidR="00BF6F81" w:rsidRPr="00BF6F81" w14:paraId="0B7739C0" w14:textId="77777777" w:rsidTr="00BF6F81">
        <w:trPr>
          <w:trHeight w:val="425"/>
          <w:jc w:val="right"/>
        </w:trPr>
        <w:tc>
          <w:tcPr>
            <w:tcW w:w="709" w:type="dxa"/>
          </w:tcPr>
          <w:p w14:paraId="305D624D" w14:textId="77777777" w:rsidR="00BF6F81" w:rsidRPr="00BF6F81" w:rsidRDefault="00BF6F81" w:rsidP="00BF6F81">
            <w:pPr>
              <w:widowControl w:val="0"/>
              <w:numPr>
                <w:ilvl w:val="0"/>
                <w:numId w:val="3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</w:tcPr>
          <w:p w14:paraId="0991011D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об’єкту))</w:t>
            </w:r>
          </w:p>
        </w:tc>
        <w:tc>
          <w:tcPr>
            <w:tcW w:w="1706" w:type="dxa"/>
            <w:vAlign w:val="center"/>
          </w:tcPr>
          <w:p w14:paraId="1AE4608C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46589860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FDA7995" w14:textId="77777777" w:rsidR="00BF6F81" w:rsidRPr="00BF6F81" w:rsidRDefault="00BF6F81" w:rsidP="00BF6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77EF2E73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0"/>
          <w:lang w:eastAsia="ru-RU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BF6F81" w:rsidRPr="00BF6F81" w14:paraId="0DA771A0" w14:textId="77777777" w:rsidTr="00327E64">
        <w:trPr>
          <w:trHeight w:val="539"/>
        </w:trPr>
        <w:tc>
          <w:tcPr>
            <w:tcW w:w="8903" w:type="dxa"/>
          </w:tcPr>
          <w:p w14:paraId="2DD5D85B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 - державні / недержавні кошти;</w:t>
            </w:r>
          </w:p>
          <w:p w14:paraId="7FD9E82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одночасно;</w:t>
            </w:r>
          </w:p>
          <w:p w14:paraId="65AC4336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з вимог Порядку проведення аукціонів з продажу спеціальних дозволів на користування надрами</w:t>
            </w:r>
          </w:p>
          <w:p w14:paraId="1C9B520D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**** - для спеціальних дозволів на континентальному шельфі та у межах виключної (морської) економічної зони</w:t>
            </w:r>
          </w:p>
        </w:tc>
      </w:tr>
    </w:tbl>
    <w:p w14:paraId="6BBEC3BD" w14:textId="77777777" w:rsidR="00BF6F81" w:rsidRPr="00BF6F81" w:rsidRDefault="00BF6F81" w:rsidP="00BF6F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0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F6F81" w:rsidRPr="00BF6F81" w14:paraId="48A36AA8" w14:textId="77777777" w:rsidTr="00327E64">
        <w:trPr>
          <w:trHeight w:val="1267"/>
          <w:jc w:val="center"/>
        </w:trPr>
        <w:tc>
          <w:tcPr>
            <w:tcW w:w="4509" w:type="dxa"/>
          </w:tcPr>
          <w:p w14:paraId="106827D8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6CD3874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9FB6959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D053F72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D5FB02A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AF5F420" w14:textId="77777777" w:rsidR="00BF6F81" w:rsidRPr="00BF6F81" w:rsidRDefault="00BF6F81" w:rsidP="00BF6F8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F6F8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</w:tr>
    </w:tbl>
    <w:p w14:paraId="403F92C3" w14:textId="77777777" w:rsidR="00BF6F81" w:rsidRPr="00BF6F81" w:rsidRDefault="00BF6F81" w:rsidP="00BF6F81">
      <w:pPr>
        <w:shd w:val="clear" w:color="auto" w:fill="FFFFFF"/>
        <w:tabs>
          <w:tab w:val="left" w:pos="5011"/>
          <w:tab w:val="left" w:pos="68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pacing w:val="-3"/>
          <w:sz w:val="16"/>
          <w:szCs w:val="16"/>
          <w:lang w:eastAsia="ru-RU"/>
        </w:rPr>
      </w:pPr>
    </w:p>
    <w:p w14:paraId="61EE139C" w14:textId="77777777" w:rsidR="00BF6F81" w:rsidRPr="00BF6F81" w:rsidRDefault="00BF6F81" w:rsidP="00BF6F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734089" w14:textId="77777777" w:rsidR="00BF6F81" w:rsidRPr="00BF6F81" w:rsidRDefault="00BF6F81" w:rsidP="00BF6F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7F7AB9" w14:textId="77777777" w:rsidR="00BF6F81" w:rsidRPr="00BF6F81" w:rsidRDefault="00BF6F81" w:rsidP="00BF6F81">
      <w:pPr>
        <w:rPr>
          <w:rFonts w:eastAsia="Calibri" w:cs="Times New Roman"/>
          <w:lang w:val="uk-UA"/>
        </w:rPr>
      </w:pPr>
    </w:p>
    <w:p w14:paraId="0293D278" w14:textId="77777777" w:rsidR="00BF6F81" w:rsidRPr="00BF6F81" w:rsidRDefault="00BF6F81" w:rsidP="00BF6F81">
      <w:pPr>
        <w:tabs>
          <w:tab w:val="left" w:pos="3591"/>
        </w:tabs>
        <w:rPr>
          <w:rFonts w:eastAsia="Calibri" w:cs="Times New Roman"/>
          <w:lang w:val="uk-UA"/>
        </w:rPr>
      </w:pPr>
      <w:r w:rsidRPr="00BF6F81">
        <w:rPr>
          <w:rFonts w:eastAsia="Calibri" w:cs="Times New Roman"/>
          <w:lang w:val="uk-UA"/>
        </w:rPr>
        <w:tab/>
      </w:r>
    </w:p>
    <w:p w14:paraId="51D85BF3" w14:textId="2930B5D5" w:rsidR="00CD24BD" w:rsidRPr="00BF6F81" w:rsidRDefault="008E5F8A" w:rsidP="00322451">
      <w:pPr>
        <w:rPr>
          <w:lang w:val="uk-UA"/>
        </w:rPr>
      </w:pPr>
    </w:p>
    <w:p w14:paraId="4CBC829F" w14:textId="76EBEA38" w:rsidR="00322451" w:rsidRDefault="00322451" w:rsidP="00322451"/>
    <w:sectPr w:rsidR="00322451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00"/>
    <w:multiLevelType w:val="hybridMultilevel"/>
    <w:tmpl w:val="8C3C418C"/>
    <w:lvl w:ilvl="0" w:tplc="EE92DDFE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170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3F1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BC1"/>
    <w:multiLevelType w:val="hybridMultilevel"/>
    <w:tmpl w:val="BE4AB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B57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EF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0BA0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BF038A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2F7"/>
    <w:multiLevelType w:val="hybridMultilevel"/>
    <w:tmpl w:val="517A18EA"/>
    <w:lvl w:ilvl="0" w:tplc="0C88173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1776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46BAA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00A3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70DC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400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583F3A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0491F"/>
    <w:multiLevelType w:val="hybridMultilevel"/>
    <w:tmpl w:val="325A111C"/>
    <w:lvl w:ilvl="0" w:tplc="C7A6DB6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C3E86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3E3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3C9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99A1FE2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D68F8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7826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28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2104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24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21"/>
  </w:num>
  <w:num w:numId="11">
    <w:abstractNumId w:val="19"/>
  </w:num>
  <w:num w:numId="12">
    <w:abstractNumId w:val="10"/>
  </w:num>
  <w:num w:numId="13">
    <w:abstractNumId w:val="1"/>
  </w:num>
  <w:num w:numId="14">
    <w:abstractNumId w:val="30"/>
  </w:num>
  <w:num w:numId="15">
    <w:abstractNumId w:val="8"/>
  </w:num>
  <w:num w:numId="16">
    <w:abstractNumId w:val="11"/>
  </w:num>
  <w:num w:numId="17">
    <w:abstractNumId w:val="22"/>
  </w:num>
  <w:num w:numId="18">
    <w:abstractNumId w:val="28"/>
  </w:num>
  <w:num w:numId="19">
    <w:abstractNumId w:val="26"/>
  </w:num>
  <w:num w:numId="20">
    <w:abstractNumId w:val="13"/>
  </w:num>
  <w:num w:numId="21">
    <w:abstractNumId w:val="17"/>
  </w:num>
  <w:num w:numId="22">
    <w:abstractNumId w:val="3"/>
  </w:num>
  <w:num w:numId="23">
    <w:abstractNumId w:val="15"/>
  </w:num>
  <w:num w:numId="24">
    <w:abstractNumId w:val="0"/>
  </w:num>
  <w:num w:numId="25">
    <w:abstractNumId w:val="29"/>
  </w:num>
  <w:num w:numId="26">
    <w:abstractNumId w:val="23"/>
  </w:num>
  <w:num w:numId="27">
    <w:abstractNumId w:val="25"/>
  </w:num>
  <w:num w:numId="28">
    <w:abstractNumId w:val="20"/>
  </w:num>
  <w:num w:numId="29">
    <w:abstractNumId w:val="7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1A631F"/>
    <w:rsid w:val="002A51A8"/>
    <w:rsid w:val="00322451"/>
    <w:rsid w:val="004B31E0"/>
    <w:rsid w:val="005D10D4"/>
    <w:rsid w:val="006249BB"/>
    <w:rsid w:val="00763917"/>
    <w:rsid w:val="00786ECF"/>
    <w:rsid w:val="008104C6"/>
    <w:rsid w:val="008D7C45"/>
    <w:rsid w:val="008E5F8A"/>
    <w:rsid w:val="00B15BEE"/>
    <w:rsid w:val="00BF6F81"/>
    <w:rsid w:val="00C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F6F81"/>
  </w:style>
  <w:style w:type="character" w:styleId="a5">
    <w:name w:val="annotation reference"/>
    <w:basedOn w:val="a0"/>
    <w:uiPriority w:val="99"/>
    <w:semiHidden/>
    <w:unhideWhenUsed/>
    <w:rsid w:val="00BF6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6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6F8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6F8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F8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F6F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F6F8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rsid w:val="00BF6F81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6F81"/>
    <w:pPr>
      <w:shd w:val="clear" w:color="auto" w:fill="FFFFFF"/>
      <w:spacing w:after="480" w:line="226" w:lineRule="exact"/>
      <w:jc w:val="center"/>
    </w:pPr>
    <w:rPr>
      <w:rFonts w:asciiTheme="minorHAnsi" w:eastAsia="Times New Roman" w:hAnsiTheme="minorHAnsi"/>
      <w:sz w:val="19"/>
      <w:szCs w:val="19"/>
    </w:rPr>
  </w:style>
  <w:style w:type="numbering" w:customStyle="1" w:styleId="110">
    <w:name w:val="Нет списка11"/>
    <w:next w:val="a2"/>
    <w:uiPriority w:val="99"/>
    <w:semiHidden/>
    <w:unhideWhenUsed/>
    <w:rsid w:val="00BF6F81"/>
  </w:style>
  <w:style w:type="paragraph" w:customStyle="1" w:styleId="12">
    <w:name w:val="Цитата1"/>
    <w:basedOn w:val="a"/>
    <w:rsid w:val="00BF6F81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ac">
    <w:name w:val="Содержимое таблицы"/>
    <w:basedOn w:val="a"/>
    <w:rsid w:val="00BF6F81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11">
    <w:name w:val="Сетка таблицы111"/>
    <w:basedOn w:val="a1"/>
    <w:next w:val="a3"/>
    <w:uiPriority w:val="39"/>
    <w:rsid w:val="00BF6F8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BF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F6F81"/>
  </w:style>
  <w:style w:type="paragraph" w:customStyle="1" w:styleId="ad">
    <w:name w:val="Базовый"/>
    <w:rsid w:val="00BF6F8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styleId="ae">
    <w:name w:val="Emphasis"/>
    <w:qFormat/>
    <w:rsid w:val="00BF6F81"/>
    <w:rPr>
      <w:i/>
      <w:iCs/>
    </w:rPr>
  </w:style>
  <w:style w:type="paragraph" w:styleId="af">
    <w:name w:val="header"/>
    <w:basedOn w:val="a"/>
    <w:link w:val="af0"/>
    <w:uiPriority w:val="99"/>
    <w:unhideWhenUsed/>
    <w:rsid w:val="00BF6F8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F6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F6F8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F6F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uiPriority w:val="1"/>
    <w:qFormat/>
    <w:rsid w:val="00BF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BF6F81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0">
    <w:name w:val="Сетка таблицы12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39"/>
    <w:rsid w:val="00BF6F8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F6F8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4076</Words>
  <Characters>23234</Characters>
  <Application>Microsoft Office Word</Application>
  <DocSecurity>0</DocSecurity>
  <Lines>193</Lines>
  <Paragraphs>54</Paragraphs>
  <ScaleCrop>false</ScaleCrop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3</cp:revision>
  <dcterms:created xsi:type="dcterms:W3CDTF">2022-12-23T13:19:00Z</dcterms:created>
  <dcterms:modified xsi:type="dcterms:W3CDTF">2022-12-23T13:20:00Z</dcterms:modified>
</cp:coreProperties>
</file>