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F2" w:rsidRPr="006130A7" w:rsidRDefault="00E24DF2" w:rsidP="00DB2FB5">
      <w:pPr>
        <w:widowControl w:val="0"/>
        <w:tabs>
          <w:tab w:val="left" w:pos="990"/>
        </w:tabs>
        <w:jc w:val="center"/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АНАЛІЗ РЕГУЛЯТОРНОГО ВПЛИВУ</w:t>
      </w:r>
    </w:p>
    <w:p w:rsidR="00575C69" w:rsidRPr="006130A7" w:rsidRDefault="00575C69" w:rsidP="00DB2FB5">
      <w:pPr>
        <w:widowControl w:val="0"/>
        <w:tabs>
          <w:tab w:val="left" w:pos="990"/>
        </w:tabs>
        <w:jc w:val="center"/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75C69" w:rsidRPr="006130A7" w:rsidRDefault="00E24DF2" w:rsidP="006130A7">
      <w:pPr>
        <w:widowControl w:val="0"/>
        <w:shd w:val="clear" w:color="auto" w:fill="FFFFFF"/>
        <w:jc w:val="center"/>
        <w:rPr>
          <w:rFonts w:eastAsia="Times New Roman"/>
          <w:b/>
          <w:bCs/>
          <w:color w:val="000000" w:themeColor="text1"/>
          <w:spacing w:val="6"/>
          <w:sz w:val="28"/>
          <w:szCs w:val="28"/>
          <w:shd w:val="clear" w:color="auto" w:fill="FFFFFF"/>
          <w:lang w:val="uk-UA" w:eastAsia="ru-RU"/>
        </w:rPr>
      </w:pPr>
      <w:r w:rsidRPr="006130A7">
        <w:rPr>
          <w:rFonts w:eastAsia="Times New Roman"/>
          <w:b/>
          <w:bCs/>
          <w:color w:val="000000" w:themeColor="text1"/>
          <w:spacing w:val="6"/>
          <w:sz w:val="28"/>
          <w:szCs w:val="28"/>
          <w:shd w:val="clear" w:color="auto" w:fill="FFFFFF"/>
          <w:lang w:val="uk-UA" w:eastAsia="ru-RU"/>
        </w:rPr>
        <w:t xml:space="preserve">до </w:t>
      </w:r>
      <w:proofErr w:type="spellStart"/>
      <w:r w:rsidR="006130A7" w:rsidRPr="006130A7">
        <w:rPr>
          <w:rFonts w:eastAsia="Times New Roman"/>
          <w:b/>
          <w:bCs/>
          <w:color w:val="000000" w:themeColor="text1"/>
          <w:spacing w:val="6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6130A7" w:rsidRPr="006130A7">
        <w:rPr>
          <w:rFonts w:eastAsia="Times New Roman"/>
          <w:b/>
          <w:bCs/>
          <w:color w:val="000000" w:themeColor="text1"/>
          <w:spacing w:val="6"/>
          <w:sz w:val="28"/>
          <w:szCs w:val="28"/>
          <w:shd w:val="clear" w:color="auto" w:fill="FFFFFF"/>
          <w:lang w:val="uk-UA" w:eastAsia="ru-RU"/>
        </w:rPr>
        <w:t xml:space="preserve"> наказу Міністерства захисту довкілля та природних ресурсів України «Про затвердження Правил охорони підземних вод»</w:t>
      </w:r>
    </w:p>
    <w:p w:rsidR="006130A7" w:rsidRPr="006130A7" w:rsidRDefault="006130A7" w:rsidP="006130A7">
      <w:pPr>
        <w:widowControl w:val="0"/>
        <w:shd w:val="clear" w:color="auto" w:fill="FFFFFF"/>
        <w:jc w:val="center"/>
        <w:rPr>
          <w:rFonts w:eastAsia="Times New Roman"/>
          <w:b/>
          <w:bCs/>
          <w:color w:val="000000" w:themeColor="text1"/>
          <w:spacing w:val="6"/>
          <w:sz w:val="28"/>
          <w:szCs w:val="28"/>
          <w:shd w:val="clear" w:color="auto" w:fill="FFFFFF"/>
          <w:lang w:val="uk-UA" w:eastAsia="ru-RU"/>
        </w:rPr>
      </w:pPr>
    </w:p>
    <w:p w:rsidR="00E24DF2" w:rsidRPr="006130A7" w:rsidRDefault="00E24DF2" w:rsidP="00017D07">
      <w:pPr>
        <w:widowControl w:val="0"/>
        <w:tabs>
          <w:tab w:val="left" w:pos="990"/>
        </w:tabs>
        <w:spacing w:after="120"/>
        <w:ind w:left="270" w:firstLine="439"/>
        <w:jc w:val="both"/>
        <w:rPr>
          <w:rFonts w:eastAsiaTheme="minorHAnsi"/>
          <w:b/>
          <w:color w:val="000000" w:themeColor="text1"/>
          <w:spacing w:val="5"/>
          <w:sz w:val="28"/>
          <w:szCs w:val="28"/>
          <w:shd w:val="clear" w:color="auto" w:fill="FFFFFF"/>
          <w:lang w:val="uk-UA" w:eastAsia="en-US"/>
        </w:rPr>
      </w:pPr>
      <w:r w:rsidRPr="006130A7">
        <w:rPr>
          <w:rFonts w:eastAsiaTheme="minorHAnsi"/>
          <w:b/>
          <w:color w:val="000000" w:themeColor="text1"/>
          <w:spacing w:val="5"/>
          <w:sz w:val="28"/>
          <w:szCs w:val="28"/>
          <w:shd w:val="clear" w:color="auto" w:fill="FFFFFF"/>
          <w:lang w:val="uk-UA" w:eastAsia="en-US"/>
        </w:rPr>
        <w:t>І. Визначення проблеми</w:t>
      </w:r>
    </w:p>
    <w:p w:rsidR="00BD7494" w:rsidRDefault="00BD7494" w:rsidP="00575C69">
      <w:pPr>
        <w:pStyle w:val="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7494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B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розроблено відповідно до статті 105 Водного кодексу України, підпункту 117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 підпункту «д» підпункту 1 пункту 1 рішення Ради національної безпеки і оборони України від 23 березня 2021 року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року № 111/2021</w:t>
      </w:r>
    </w:p>
    <w:p w:rsidR="00575C69" w:rsidRPr="006130A7" w:rsidRDefault="00286DF5" w:rsidP="00575C69">
      <w:pPr>
        <w:pStyle w:val="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5C69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575C69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0A7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розроблено з метою врегулювання відносин у сфері охорони навколишнього природного середовища</w:t>
      </w:r>
      <w:r w:rsidR="006130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30A7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поліпшення екологічного стану регіонів України</w:t>
      </w:r>
      <w:r w:rsid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6130A7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охорони підземних вод від забруднення та виснаження.</w:t>
      </w:r>
    </w:p>
    <w:p w:rsidR="006130A7" w:rsidRPr="006130A7" w:rsidRDefault="006130A7" w:rsidP="006130A7">
      <w:pPr>
        <w:pStyle w:val="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Проєктом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пропонується затвердити Правила охорони підземних вод, якими передбачається встановити вимоги з охорони підземних вод, заходи з охорони навколишнього природного середовища, зокрема надр, при здійсненні будь-яких видів антропогенної діяльності, яка може негативно позначитися на якісних показниках підземних вод.</w:t>
      </w:r>
    </w:p>
    <w:p w:rsidR="006130A7" w:rsidRPr="006130A7" w:rsidRDefault="006130A7" w:rsidP="006130A7">
      <w:pPr>
        <w:pStyle w:val="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визначає порядок здійснення заходів щодо охорони підземних вод, які спрямовані на захист підземних водних ресурсів держави та забезпечення населення якісною питною водою в населених пунктах України.</w:t>
      </w:r>
    </w:p>
    <w:p w:rsidR="006130A7" w:rsidRPr="006130A7" w:rsidRDefault="006130A7" w:rsidP="006130A7">
      <w:pPr>
        <w:pStyle w:val="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4B36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сьогодні </w:t>
      </w:r>
      <w:r w:rsidR="000D7AAF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 охорони підземних 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="00BD74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відсутня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74B36" w:rsidRPr="006130A7" w:rsidRDefault="00F230C0" w:rsidP="00286DF5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Станом на початок 2022 року спеціальних дозволів на користування надрами 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підземних вод 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дійсних 808 одиниць</w:t>
      </w:r>
      <w:r w:rsidR="00646515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даними Державного агентства водних ресурсів України, діючих дозволів на спеціальне водокористування налічується 13 198, з них із забором підземних вод 8 900. </w:t>
      </w:r>
      <w:r w:rsidR="00E1147C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даних державного обліку використання підземних вод упродовж 2000 – 2018 років щорічно працювало близько 10 000 водозаборів підземних вод, на яких експлуатуються від 1 до декілька десятків свердловин. </w:t>
      </w:r>
      <w:r w:rsidR="00646515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цьому суб'єктів господарювання, що підпадають під дію регулювання акту 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в рази більше</w:t>
      </w:r>
      <w:r w:rsidR="00601807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чим наданих спеціальних дозволів на користування надрами</w:t>
      </w:r>
      <w:r w:rsidR="00646515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попередніми оцінками </w:t>
      </w:r>
      <w:proofErr w:type="spellStart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Держгеонадр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кількість водозабірних 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споруд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(експлуатація підземних вод)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</w:t>
      </w:r>
      <w:r w:rsidR="00E1147C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внесені до Державного реєстру артезіанських свердловин складає </w:t>
      </w:r>
      <w:r w:rsidR="00E1147C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50000 до 100000 одиниць. За попередніми оцінками </w:t>
      </w:r>
      <w:r w:rsidR="002F69DC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експертів</w:t>
      </w:r>
      <w:r w:rsidR="00E1147C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території України може експлуатуватися до 500000 водозабірних споруд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>, які здійснюють водозабір з підземних вод</w:t>
      </w:r>
      <w:r w:rsidR="00E1147C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147C" w:rsidRPr="006130A7" w:rsidRDefault="00E1147C" w:rsidP="00286DF5">
      <w:pPr>
        <w:pStyle w:val="3"/>
        <w:spacing w:before="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Станом на початок липня 2022 року до Державного реєстру артезіанських свердловин </w:t>
      </w:r>
      <w:r w:rsidR="002F69DC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внесені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понад 5000 об’єктів.</w:t>
      </w:r>
    </w:p>
    <w:p w:rsidR="00E24DF2" w:rsidRPr="006130A7" w:rsidRDefault="00E24DF2" w:rsidP="00E01BED">
      <w:pPr>
        <w:widowControl w:val="0"/>
        <w:ind w:firstLine="709"/>
        <w:jc w:val="both"/>
        <w:rPr>
          <w:color w:val="000000" w:themeColor="text1"/>
          <w:sz w:val="28"/>
          <w:szCs w:val="28"/>
          <w:lang w:val="uk-UA" w:eastAsia="ru-RU"/>
        </w:rPr>
      </w:pPr>
      <w:bookmarkStart w:id="0" w:name="n313"/>
      <w:bookmarkEnd w:id="0"/>
      <w:r w:rsidRPr="006130A7">
        <w:rPr>
          <w:color w:val="000000" w:themeColor="text1"/>
          <w:sz w:val="28"/>
          <w:szCs w:val="28"/>
          <w:lang w:val="uk-UA" w:eastAsia="ru-RU"/>
        </w:rPr>
        <w:t xml:space="preserve">Прийняття </w:t>
      </w:r>
      <w:proofErr w:type="spellStart"/>
      <w:r w:rsidRPr="006130A7">
        <w:rPr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6130A7">
        <w:rPr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130A7">
        <w:rPr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color w:val="000000" w:themeColor="text1"/>
          <w:sz w:val="28"/>
          <w:szCs w:val="28"/>
          <w:lang w:val="uk-UA" w:eastAsia="ru-RU"/>
        </w:rPr>
        <w:t xml:space="preserve"> сприятиме</w:t>
      </w:r>
      <w:r w:rsidR="00517D36" w:rsidRPr="006130A7"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  <w:t xml:space="preserve"> вдосконаленню правовідносин</w:t>
      </w:r>
      <w:r w:rsidRPr="006130A7">
        <w:rPr>
          <w:color w:val="000000" w:themeColor="text1"/>
          <w:sz w:val="28"/>
          <w:szCs w:val="28"/>
          <w:lang w:val="uk-UA" w:eastAsia="ru-RU"/>
        </w:rPr>
        <w:t xml:space="preserve"> </w:t>
      </w:r>
      <w:r w:rsidR="006B786A" w:rsidRPr="006130A7">
        <w:rPr>
          <w:color w:val="000000" w:themeColor="text1"/>
          <w:sz w:val="28"/>
          <w:szCs w:val="28"/>
          <w:lang w:val="uk-UA" w:eastAsia="ru-RU"/>
        </w:rPr>
        <w:t>та призведе</w:t>
      </w:r>
      <w:r w:rsidRPr="006130A7">
        <w:rPr>
          <w:color w:val="000000" w:themeColor="text1"/>
          <w:sz w:val="28"/>
          <w:szCs w:val="28"/>
          <w:lang w:val="uk-UA" w:eastAsia="ru-RU"/>
        </w:rPr>
        <w:t xml:space="preserve"> до </w:t>
      </w:r>
      <w:r w:rsidR="00BD7494">
        <w:rPr>
          <w:color w:val="000000" w:themeColor="text1"/>
          <w:sz w:val="28"/>
          <w:szCs w:val="28"/>
          <w:lang w:val="uk-UA" w:eastAsia="ru-RU"/>
        </w:rPr>
        <w:t>узгодженості в регулюванні у сфері підземних вод</w:t>
      </w:r>
      <w:r w:rsidRPr="006130A7">
        <w:rPr>
          <w:color w:val="000000" w:themeColor="text1"/>
          <w:sz w:val="28"/>
          <w:szCs w:val="28"/>
          <w:lang w:val="uk-UA" w:eastAsia="ru-RU"/>
        </w:rPr>
        <w:t>.</w:t>
      </w:r>
    </w:p>
    <w:p w:rsidR="00E24DF2" w:rsidRPr="006130A7" w:rsidRDefault="00E24DF2" w:rsidP="00E01BED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130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Враховуючи вищезазначене, </w:t>
      </w:r>
      <w:r w:rsidRPr="006130A7">
        <w:rPr>
          <w:color w:val="000000" w:themeColor="text1"/>
          <w:sz w:val="28"/>
          <w:szCs w:val="28"/>
          <w:lang w:val="uk-UA" w:eastAsia="ru-RU"/>
        </w:rPr>
        <w:t>з метою забезпечення н</w:t>
      </w:r>
      <w:r w:rsidR="007A407E" w:rsidRPr="006130A7">
        <w:rPr>
          <w:color w:val="000000" w:themeColor="text1"/>
          <w:sz w:val="28"/>
          <w:szCs w:val="28"/>
          <w:lang w:val="uk-UA" w:eastAsia="ru-RU"/>
        </w:rPr>
        <w:t xml:space="preserve">алежного виконання </w:t>
      </w:r>
      <w:r w:rsidR="00BD7494" w:rsidRPr="00BD7494">
        <w:rPr>
          <w:color w:val="000000" w:themeColor="text1"/>
          <w:sz w:val="28"/>
          <w:szCs w:val="28"/>
          <w:lang w:val="uk-UA" w:eastAsia="ru-RU"/>
        </w:rPr>
        <w:t>рішення Ради національної безпеки і оборони України від 23 березня 2021 року «Про виклики і загрози національній безпеці України в екологічній сфері та першочергові заходи щодо їх нейтралізації», введеного в дію Указом Президента України від 23 березня 2021 року № 111/2021</w:t>
      </w:r>
      <w:r w:rsidRPr="006130A7">
        <w:rPr>
          <w:color w:val="000000" w:themeColor="text1"/>
          <w:sz w:val="28"/>
          <w:szCs w:val="28"/>
          <w:lang w:val="uk-UA" w:eastAsia="ru-RU"/>
        </w:rPr>
        <w:t xml:space="preserve"> виникла необхідність у затвердженні</w:t>
      </w:r>
      <w:r w:rsidR="006B786A" w:rsidRPr="006130A7">
        <w:rPr>
          <w:color w:val="000000" w:themeColor="text1"/>
          <w:sz w:val="28"/>
          <w:szCs w:val="28"/>
          <w:lang w:val="uk-UA" w:eastAsia="ru-RU"/>
        </w:rPr>
        <w:t xml:space="preserve"> </w:t>
      </w:r>
      <w:r w:rsidR="00BD7494">
        <w:rPr>
          <w:color w:val="000000" w:themeColor="text1"/>
          <w:sz w:val="28"/>
          <w:szCs w:val="28"/>
          <w:lang w:val="uk-UA" w:eastAsia="ru-RU"/>
        </w:rPr>
        <w:t>Правил охорони підземних вод</w:t>
      </w:r>
      <w:r w:rsidRPr="006130A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24DF2" w:rsidRPr="006130A7" w:rsidRDefault="00E24DF2" w:rsidP="00E01BED">
      <w:pPr>
        <w:widowControl w:val="0"/>
        <w:spacing w:before="120" w:after="120"/>
        <w:ind w:firstLine="709"/>
        <w:jc w:val="both"/>
        <w:rPr>
          <w:color w:val="000000" w:themeColor="text1"/>
          <w:spacing w:val="2"/>
          <w:sz w:val="28"/>
          <w:szCs w:val="28"/>
          <w:lang w:val="uk-UA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Основні</w:t>
      </w:r>
      <w:r w:rsidRPr="006130A7">
        <w:rPr>
          <w:color w:val="000000" w:themeColor="text1"/>
          <w:spacing w:val="2"/>
          <w:sz w:val="28"/>
          <w:szCs w:val="28"/>
          <w:lang w:val="uk-UA"/>
        </w:rPr>
        <w:t xml:space="preserve"> групи</w:t>
      </w:r>
      <w:r w:rsidR="00353436" w:rsidRPr="006130A7">
        <w:rPr>
          <w:color w:val="000000" w:themeColor="text1"/>
          <w:spacing w:val="2"/>
          <w:sz w:val="28"/>
          <w:szCs w:val="28"/>
          <w:lang w:val="uk-UA"/>
        </w:rPr>
        <w:t>,</w:t>
      </w:r>
      <w:r w:rsidRPr="006130A7">
        <w:rPr>
          <w:color w:val="000000" w:themeColor="text1"/>
          <w:spacing w:val="2"/>
          <w:sz w:val="28"/>
          <w:szCs w:val="28"/>
          <w:lang w:val="uk-UA"/>
        </w:rPr>
        <w:t xml:space="preserve"> на які проблема справляє вплив: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467"/>
        <w:gridCol w:w="3124"/>
      </w:tblGrid>
      <w:tr w:rsidR="00472CAC" w:rsidRPr="006130A7" w:rsidTr="008A2AC6">
        <w:tc>
          <w:tcPr>
            <w:tcW w:w="3765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467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3124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</w:t>
            </w:r>
          </w:p>
        </w:tc>
      </w:tr>
      <w:tr w:rsidR="00472CAC" w:rsidRPr="006130A7" w:rsidTr="008A2AC6">
        <w:tc>
          <w:tcPr>
            <w:tcW w:w="3765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467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24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472CAC" w:rsidRPr="006130A7" w:rsidTr="008A2AC6">
        <w:tc>
          <w:tcPr>
            <w:tcW w:w="3765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467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72CAC" w:rsidRPr="006130A7" w:rsidTr="008A2AC6">
        <w:tc>
          <w:tcPr>
            <w:tcW w:w="3765" w:type="dxa"/>
          </w:tcPr>
          <w:p w:rsidR="00E24DF2" w:rsidRPr="006130A7" w:rsidRDefault="00E24DF2" w:rsidP="00017D07">
            <w:pPr>
              <w:widowControl w:val="0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467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4" w:type="dxa"/>
          </w:tcPr>
          <w:p w:rsidR="00E24DF2" w:rsidRPr="006130A7" w:rsidRDefault="00E24DF2" w:rsidP="00017D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E24DF2" w:rsidRPr="006130A7" w:rsidRDefault="00E24DF2" w:rsidP="00E01BED">
      <w:pPr>
        <w:widowControl w:val="0"/>
        <w:spacing w:before="120"/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E24DF2" w:rsidRPr="006130A7" w:rsidRDefault="00E24DF2" w:rsidP="0043576B">
      <w:pPr>
        <w:widowControl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B00DB5" w:rsidRPr="006130A7" w:rsidRDefault="00E24DF2" w:rsidP="0043576B">
      <w:pPr>
        <w:widowControl w:val="0"/>
        <w:ind w:firstLine="709"/>
        <w:jc w:val="both"/>
        <w:rPr>
          <w:rFonts w:eastAsia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6130A7">
        <w:rPr>
          <w:rFonts w:eastAsia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порушені питання не врегульовані. </w:t>
      </w:r>
    </w:p>
    <w:p w:rsidR="005E55DA" w:rsidRPr="006130A7" w:rsidRDefault="005E55DA" w:rsidP="0043576B">
      <w:pPr>
        <w:widowControl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</w:p>
    <w:p w:rsidR="00E24DF2" w:rsidRPr="006130A7" w:rsidRDefault="00E24DF2" w:rsidP="005E55DA">
      <w:pPr>
        <w:widowControl w:val="0"/>
        <w:spacing w:after="120"/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Arial Unicode MS"/>
          <w:b/>
          <w:bCs/>
          <w:color w:val="000000" w:themeColor="text1"/>
          <w:sz w:val="28"/>
          <w:szCs w:val="28"/>
          <w:lang w:val="uk-UA" w:eastAsia="ru-RU"/>
        </w:rPr>
        <w:t>ІІ. Цілі державного регулювання</w:t>
      </w:r>
    </w:p>
    <w:p w:rsidR="00F64275" w:rsidRPr="006130A7" w:rsidRDefault="002D46E1" w:rsidP="0043576B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</w:t>
      </w:r>
      <w:r w:rsidR="00E0471B"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ими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ціл</w:t>
      </w:r>
      <w:r w:rsidR="00E0471B"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ями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прийняття </w:t>
      </w:r>
      <w:proofErr w:type="spellStart"/>
      <w:r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проєкту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акта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є</w:t>
      </w:r>
      <w:r w:rsidR="00F64275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471B" w:rsidRPr="006130A7" w:rsidRDefault="00E47A5B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Цілл</w:t>
      </w:r>
      <w:r w:rsidR="0049342C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прийняття </w:t>
      </w:r>
      <w:proofErr w:type="spellStart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</w:t>
      </w:r>
      <w:r w:rsidR="00E0471B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7494" w:rsidRDefault="001316EA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єдиного документ</w:t>
      </w:r>
      <w:r w:rsidR="00E93D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3F5">
        <w:rPr>
          <w:rFonts w:ascii="Times New Roman" w:hAnsi="Times New Roman" w:cs="Times New Roman"/>
          <w:color w:val="000000" w:themeColor="text1"/>
          <w:sz w:val="28"/>
          <w:szCs w:val="28"/>
        </w:rPr>
        <w:t>та вимог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295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295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охорони 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>підземни</w:t>
      </w:r>
      <w:r w:rsidR="002953F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</w:t>
      </w:r>
      <w:r w:rsidR="002953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53F5" w:rsidRPr="002953F5">
        <w:t xml:space="preserve"> </w:t>
      </w:r>
      <w:r w:rsidR="002953F5" w:rsidRPr="002953F5">
        <w:rPr>
          <w:rFonts w:ascii="Times New Roman" w:hAnsi="Times New Roman" w:cs="Times New Roman"/>
          <w:color w:val="000000" w:themeColor="text1"/>
          <w:sz w:val="28"/>
          <w:szCs w:val="28"/>
        </w:rPr>
        <w:t>що забезпечують їх захист від забруднення, засмічення, вичерпання, виснаження</w:t>
      </w:r>
      <w:r w:rsidR="00BD7494" w:rsidRPr="002953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7494" w:rsidRDefault="00BD7494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</w:t>
      </w:r>
      <w:r w:rsidR="002953F5">
        <w:rPr>
          <w:rFonts w:ascii="Times New Roman" w:hAnsi="Times New Roman" w:cs="Times New Roman"/>
          <w:color w:val="000000" w:themeColor="text1"/>
          <w:sz w:val="28"/>
          <w:szCs w:val="28"/>
        </w:rPr>
        <w:t>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</w:t>
      </w:r>
      <w:r w:rsidR="002953F5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3F5">
        <w:rPr>
          <w:rFonts w:ascii="Times New Roman" w:hAnsi="Times New Roman" w:cs="Times New Roman"/>
          <w:color w:val="000000" w:themeColor="text1"/>
          <w:sz w:val="28"/>
          <w:szCs w:val="28"/>
        </w:rPr>
        <w:t>охорони підземних вод;</w:t>
      </w:r>
    </w:p>
    <w:p w:rsidR="001316EA" w:rsidRDefault="001316EA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правил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проєктуванні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розміщенні, будівництві, реконструкції та введенні в дію водозабірних споруд;</w:t>
      </w:r>
    </w:p>
    <w:p w:rsidR="001316EA" w:rsidRDefault="001316EA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</w:t>
      </w:r>
      <w:r w:rsidR="00143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вимог до будівництва</w:t>
      </w:r>
      <w:r w:rsidR="00EF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водозабору підземних вод;</w:t>
      </w:r>
    </w:p>
    <w:p w:rsidR="00EF421B" w:rsidRDefault="00143183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загальні </w:t>
      </w:r>
      <w:r w:rsidR="00EF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вимоги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звітування при видобутку та використанню</w:t>
      </w:r>
      <w:r w:rsidR="00EF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підземних вод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</w:t>
      </w:r>
      <w:r w:rsidR="00EF421B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 обліку підземних вод;</w:t>
      </w:r>
    </w:p>
    <w:p w:rsidR="00E0471B" w:rsidRDefault="003A7DB6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</w:t>
      </w:r>
      <w:r w:rsidR="00143183">
        <w:rPr>
          <w:rFonts w:ascii="Times New Roman" w:hAnsi="Times New Roman" w:cs="Times New Roman"/>
          <w:color w:val="000000" w:themeColor="text1"/>
          <w:sz w:val="28"/>
          <w:szCs w:val="28"/>
        </w:rPr>
        <w:t>основних принципів до визначення зон санітарної охорони та умов їх дотримання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3183" w:rsidRPr="006130A7" w:rsidRDefault="00143183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загальні вимоги до оформлення локальних мереж спостережних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свердловин;</w:t>
      </w:r>
    </w:p>
    <w:p w:rsidR="00E0471B" w:rsidRPr="006130A7" w:rsidRDefault="00143183" w:rsidP="00E0471B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узагальнені вимоги до ліквідації покинутих свердловин та вимоги до захоронення зворотних вод</w:t>
      </w:r>
      <w:r w:rsidR="003A7DB6"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3183" w:rsidRPr="006130A7" w:rsidRDefault="00143183" w:rsidP="00143183">
      <w:pPr>
        <w:pStyle w:val="3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 повноважен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Держгеонадр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Держпраці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Держекоінспекції</w:t>
      </w:r>
      <w:proofErr w:type="spellEnd"/>
      <w:r w:rsidRPr="0061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 нагляду (контролю), державного геологічного контролю при охороні підземних вод від виснаження та забруднення.</w:t>
      </w:r>
    </w:p>
    <w:p w:rsidR="006A460E" w:rsidRPr="006130A7" w:rsidRDefault="00CB472A" w:rsidP="005E55DA">
      <w:pPr>
        <w:widowControl w:val="0"/>
        <w:tabs>
          <w:tab w:val="left" w:pos="770"/>
          <w:tab w:val="left" w:pos="990"/>
        </w:tabs>
        <w:spacing w:after="120"/>
        <w:jc w:val="both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Calibri"/>
          <w:color w:val="000000" w:themeColor="text1"/>
          <w:sz w:val="28"/>
          <w:szCs w:val="28"/>
          <w:lang w:val="uk-UA" w:eastAsia="en-US"/>
        </w:rPr>
        <w:tab/>
      </w:r>
      <w:r w:rsidR="00E24DF2"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:rsidR="00E24DF2" w:rsidRPr="006130A7" w:rsidRDefault="006A460E" w:rsidP="006A460E">
      <w:pPr>
        <w:widowControl w:val="0"/>
        <w:tabs>
          <w:tab w:val="left" w:pos="770"/>
          <w:tab w:val="left" w:pos="990"/>
        </w:tabs>
        <w:spacing w:before="120" w:after="120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ab/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1. Визначення альтернативних способів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472CAC" w:rsidRPr="006130A7" w:rsidTr="002D3093">
        <w:tc>
          <w:tcPr>
            <w:tcW w:w="2410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after="12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1" w:name="_Hlk15904862"/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6946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after="12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472CAC" w:rsidRPr="008F590F" w:rsidTr="002D3093">
        <w:tc>
          <w:tcPr>
            <w:tcW w:w="2410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1</w:t>
            </w:r>
            <w:r w:rsidR="002D3093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D87EA3" w:rsidRDefault="00D87EA3" w:rsidP="00E93D86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Style w:val="10"/>
                <w:color w:val="000000" w:themeColor="text1"/>
                <w:sz w:val="28"/>
                <w:szCs w:val="28"/>
              </w:rPr>
            </w:pPr>
            <w:r w:rsidRPr="00226E48">
              <w:rPr>
                <w:rStyle w:val="10"/>
                <w:color w:val="000000" w:themeColor="text1"/>
                <w:sz w:val="28"/>
                <w:szCs w:val="28"/>
              </w:rPr>
              <w:t>Залишення чинного регулювання.</w:t>
            </w:r>
          </w:p>
          <w:p w:rsidR="00E24DF2" w:rsidRPr="006130A7" w:rsidRDefault="00E93D86" w:rsidP="00E93D86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10"/>
                <w:color w:val="000000" w:themeColor="text1"/>
                <w:sz w:val="28"/>
                <w:szCs w:val="28"/>
              </w:rPr>
              <w:t>Відсутність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єдиного документ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>а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з правилами та вимогами з охорони підземних вод, що забезпечують їх захист від забруднення, зас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мічення, вичерпання, виснаження. Відсутність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визначення 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принципів охорони підземних вод. Відсутність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визначення правил при </w:t>
            </w:r>
            <w:proofErr w:type="spellStart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проєктуванні</w:t>
            </w:r>
            <w:proofErr w:type="spellEnd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>, розміщенні, будівництві, реконструкції та вве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денні в дію водозабірних споруд. Відсутність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визначення загальних вимог до будів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ництва водозабору підземних вод. Відсутність зведених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загальн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>их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вимог до звітування при видобутку та використанн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>і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підземних вод з метою 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державного обліку підземних вод. Відсутність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визначення 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основних вимог для водозаборів підземних вод від початку проектування, планування та будівництва до видобування, використання та обслуговування. Відсутність узагальнених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визначен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>их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повноважень </w:t>
            </w:r>
            <w:proofErr w:type="spellStart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Держгеонадр</w:t>
            </w:r>
            <w:proofErr w:type="spellEnd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Держпраці</w:t>
            </w:r>
            <w:proofErr w:type="spellEnd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Держекоінспекції</w:t>
            </w:r>
            <w:proofErr w:type="spellEnd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щодо державного нагляду (контролю), державного геологічного контролю при охороні підземних вод від виснаження та забруднення.</w:t>
            </w:r>
          </w:p>
        </w:tc>
      </w:tr>
      <w:tr w:rsidR="00472CAC" w:rsidRPr="006130A7" w:rsidTr="00574A8E">
        <w:trPr>
          <w:trHeight w:val="3072"/>
        </w:trPr>
        <w:tc>
          <w:tcPr>
            <w:tcW w:w="2410" w:type="dxa"/>
          </w:tcPr>
          <w:p w:rsidR="00E24DF2" w:rsidRPr="006130A7" w:rsidRDefault="00E24DF2" w:rsidP="002D3093">
            <w:pPr>
              <w:widowControl w:val="0"/>
              <w:tabs>
                <w:tab w:val="left" w:pos="990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2</w:t>
            </w:r>
            <w:r w:rsidR="002D3093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6946" w:type="dxa"/>
          </w:tcPr>
          <w:p w:rsidR="002D3093" w:rsidRPr="006130A7" w:rsidRDefault="002D3093" w:rsidP="008612FF">
            <w:pPr>
              <w:pStyle w:val="2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6130A7">
              <w:rPr>
                <w:rStyle w:val="10"/>
                <w:b w:val="0"/>
                <w:color w:val="000000" w:themeColor="text1"/>
                <w:spacing w:val="0"/>
                <w:sz w:val="28"/>
                <w:szCs w:val="28"/>
              </w:rPr>
              <w:t xml:space="preserve">Прийняття </w:t>
            </w:r>
            <w:proofErr w:type="spellStart"/>
            <w:r w:rsidRPr="006130A7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8"/>
                <w:szCs w:val="28"/>
              </w:rPr>
              <w:t>проєкту</w:t>
            </w:r>
            <w:proofErr w:type="spellEnd"/>
            <w:r w:rsidRPr="006130A7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8"/>
                <w:szCs w:val="28"/>
              </w:rPr>
              <w:t xml:space="preserve"> </w:t>
            </w:r>
            <w:r w:rsidR="00E93D86" w:rsidRPr="00E93D86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sz w:val="28"/>
                <w:szCs w:val="28"/>
              </w:rPr>
              <w:t>наказу Міністерства захисту довкілля та природних ресурсів України «Про затвердження Правил охорони підземних вод»</w:t>
            </w:r>
            <w:r w:rsidR="0015562C" w:rsidRPr="006130A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24DF2" w:rsidRPr="006130A7" w:rsidRDefault="00E93D86" w:rsidP="001859C9">
            <w:pPr>
              <w:pStyle w:val="rvps2"/>
              <w:shd w:val="clear" w:color="auto" w:fill="FFFFFF"/>
              <w:spacing w:after="15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аявність єдиного документ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 з правилами та вимогами з охорони підземних вод, що забезпечують їх захист від забруднення, засмічення, вичерпання,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иснаження. Наявність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визначен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их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принципів охорони підземних вод. Узагальнення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визначення правил при </w:t>
            </w:r>
            <w:proofErr w:type="spellStart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проєктуванні</w:t>
            </w:r>
            <w:proofErr w:type="spellEnd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, розміщенні, будівництві, реконструкції та вве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денні в дію водозабірних споруд. Наявність узагальненого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визначення вимог до будів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ництва водозабору підземних вод. Існування узагальнених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вимог до звітування при видобутку та використанн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 підземних вод з метою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державного обліку підземних вод. Узагальнений опис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основних принципів до визначення зон санітарно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ї охорони та умов їх дотримання.</w:t>
            </w:r>
            <w:r w:rsidR="00F6353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859C9">
              <w:rPr>
                <w:color w:val="000000" w:themeColor="text1"/>
                <w:sz w:val="28"/>
                <w:szCs w:val="28"/>
                <w:lang w:val="uk-UA"/>
              </w:rPr>
              <w:t xml:space="preserve">Визначені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загальні вимоги до оформлення локальни</w:t>
            </w:r>
            <w:r w:rsidR="001859C9">
              <w:rPr>
                <w:color w:val="000000" w:themeColor="text1"/>
                <w:sz w:val="28"/>
                <w:szCs w:val="28"/>
                <w:lang w:val="uk-UA"/>
              </w:rPr>
              <w:t>х мереж спостережних свердловин. В</w:t>
            </w:r>
            <w:r w:rsidR="001859C9" w:rsidRPr="001859C9">
              <w:rPr>
                <w:color w:val="000000" w:themeColor="text1"/>
                <w:sz w:val="28"/>
                <w:szCs w:val="28"/>
                <w:lang w:val="uk-UA"/>
              </w:rPr>
              <w:t>изначення основних вимог для водозаборів підземних вод від початку проектування, планування та будівництва до видобування, використання та обслуговування.</w:t>
            </w:r>
            <w:r w:rsidR="001859C9">
              <w:rPr>
                <w:color w:val="000000" w:themeColor="text1"/>
                <w:sz w:val="28"/>
                <w:szCs w:val="28"/>
                <w:lang w:val="uk-UA"/>
              </w:rPr>
              <w:t xml:space="preserve"> Визначені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узагальнені вимоги до ліквідації покинутих свердловин та вимо</w:t>
            </w:r>
            <w:r w:rsidR="001859C9">
              <w:rPr>
                <w:color w:val="000000" w:themeColor="text1"/>
                <w:sz w:val="28"/>
                <w:szCs w:val="28"/>
                <w:lang w:val="uk-UA"/>
              </w:rPr>
              <w:t>ги до захоронення зворотних вод. В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изначення повноважень </w:t>
            </w:r>
            <w:proofErr w:type="spellStart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Держгеонадр</w:t>
            </w:r>
            <w:proofErr w:type="spellEnd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Держекоінспекції</w:t>
            </w:r>
            <w:proofErr w:type="spellEnd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 щодо державного нагляду (контролю), державного геологічного контролю при охороні підземних вод від виснаження та забруднення.</w:t>
            </w:r>
          </w:p>
        </w:tc>
      </w:tr>
    </w:tbl>
    <w:bookmarkEnd w:id="1"/>
    <w:p w:rsidR="005232C6" w:rsidRPr="006130A7" w:rsidRDefault="005232C6" w:rsidP="00E01BED">
      <w:pPr>
        <w:spacing w:before="120"/>
        <w:jc w:val="both"/>
        <w:rPr>
          <w:color w:val="000000" w:themeColor="text1"/>
          <w:sz w:val="28"/>
          <w:szCs w:val="28"/>
          <w:lang w:val="uk-UA" w:eastAsia="ru-RU"/>
        </w:rPr>
      </w:pPr>
      <w:r w:rsidRPr="006130A7">
        <w:rPr>
          <w:color w:val="000000" w:themeColor="text1"/>
          <w:sz w:val="28"/>
          <w:szCs w:val="28"/>
          <w:lang w:val="uk-UA" w:eastAsia="ru-RU"/>
        </w:rPr>
        <w:lastRenderedPageBreak/>
        <w:tab/>
      </w:r>
      <w:r w:rsidR="00E16A63" w:rsidRPr="006130A7">
        <w:rPr>
          <w:color w:val="000000" w:themeColor="text1"/>
          <w:sz w:val="28"/>
          <w:szCs w:val="28"/>
          <w:lang w:val="uk-UA" w:eastAsia="ru-RU"/>
        </w:rPr>
        <w:t>2</w:t>
      </w:r>
      <w:r w:rsidRPr="006130A7">
        <w:rPr>
          <w:color w:val="000000" w:themeColor="text1"/>
          <w:sz w:val="28"/>
          <w:szCs w:val="28"/>
          <w:lang w:val="uk-UA" w:eastAsia="ru-RU"/>
        </w:rPr>
        <w:t>. Оцінка вибраних альтернативних способів досягнення цілей</w:t>
      </w:r>
    </w:p>
    <w:p w:rsidR="00E24DF2" w:rsidRPr="006130A7" w:rsidRDefault="00E24DF2" w:rsidP="00183293">
      <w:pPr>
        <w:widowControl w:val="0"/>
        <w:spacing w:before="120" w:after="120"/>
        <w:ind w:firstLine="709"/>
        <w:jc w:val="both"/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  <w:t>Оцінка впливу на сферу інтересів держави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472CAC" w:rsidRPr="006130A7" w:rsidTr="008A2AC6">
        <w:tc>
          <w:tcPr>
            <w:tcW w:w="2430" w:type="dxa"/>
          </w:tcPr>
          <w:p w:rsidR="00E24DF2" w:rsidRPr="006130A7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E24DF2" w:rsidRPr="006130A7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:rsidR="00E24DF2" w:rsidRPr="006130A7" w:rsidRDefault="00E24DF2" w:rsidP="00183293">
            <w:pPr>
              <w:widowControl w:val="0"/>
              <w:spacing w:after="12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472CAC" w:rsidRPr="008F590F" w:rsidTr="008A2AC6">
        <w:tc>
          <w:tcPr>
            <w:tcW w:w="2430" w:type="dxa"/>
          </w:tcPr>
          <w:p w:rsidR="00E24DF2" w:rsidRPr="006130A7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1.</w:t>
            </w:r>
          </w:p>
          <w:p w:rsidR="00E24DF2" w:rsidRPr="006130A7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4066" w:type="dxa"/>
          </w:tcPr>
          <w:p w:rsidR="00E24DF2" w:rsidRPr="006130A7" w:rsidRDefault="00E24DF2" w:rsidP="00183293">
            <w:pPr>
              <w:widowControl w:val="0"/>
              <w:spacing w:after="120"/>
              <w:ind w:firstLine="2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:rsidR="00E24DF2" w:rsidRPr="006130A7" w:rsidRDefault="00452114" w:rsidP="00601807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Style w:val="10"/>
                <w:color w:val="000000" w:themeColor="text1"/>
                <w:sz w:val="28"/>
                <w:szCs w:val="28"/>
              </w:rPr>
              <w:t>Відсутність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єдиного документ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>а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 з правилами та вимогами з охорони підземних вод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>.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Відсутність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визначення 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принципів охорони підземних вод. Відсутність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визначення правил при </w:t>
            </w:r>
            <w:proofErr w:type="spellStart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проєктуванні</w:t>
            </w:r>
            <w:proofErr w:type="spellEnd"/>
            <w:r w:rsidRPr="00E93D86">
              <w:rPr>
                <w:rStyle w:val="10"/>
                <w:color w:val="000000" w:themeColor="text1"/>
                <w:sz w:val="28"/>
                <w:szCs w:val="28"/>
              </w:rPr>
              <w:t>, розміщенні, будівництві, реконструкції та вве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денні в дію водозабірних споруд. Відсутність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>визначення загальних вимог до будів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 xml:space="preserve">ництва водозабору підземних вод. 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lastRenderedPageBreak/>
              <w:t xml:space="preserve">Відсутність </w:t>
            </w:r>
            <w:r w:rsidRPr="00E93D86">
              <w:rPr>
                <w:rStyle w:val="10"/>
                <w:color w:val="000000" w:themeColor="text1"/>
                <w:sz w:val="28"/>
                <w:szCs w:val="28"/>
              </w:rPr>
              <w:t xml:space="preserve">визначення </w:t>
            </w:r>
            <w:r>
              <w:rPr>
                <w:rStyle w:val="10"/>
                <w:color w:val="000000" w:themeColor="text1"/>
                <w:sz w:val="28"/>
                <w:szCs w:val="28"/>
              </w:rPr>
              <w:t>основних вимог для водозаборів підземних вод від початку проектування, планування та будівництва до видобування, використання та обслуговування.</w:t>
            </w:r>
          </w:p>
        </w:tc>
      </w:tr>
      <w:tr w:rsidR="00E24DF2" w:rsidRPr="006130A7" w:rsidTr="008A2AC6">
        <w:tc>
          <w:tcPr>
            <w:tcW w:w="2430" w:type="dxa"/>
          </w:tcPr>
          <w:p w:rsidR="00E24DF2" w:rsidRPr="006130A7" w:rsidRDefault="00E24DF2" w:rsidP="00183293">
            <w:pPr>
              <w:widowControl w:val="0"/>
              <w:spacing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066" w:type="dxa"/>
          </w:tcPr>
          <w:p w:rsidR="00452114" w:rsidRDefault="00452114" w:rsidP="007D5F90">
            <w:pPr>
              <w:widowControl w:val="0"/>
              <w:spacing w:after="120"/>
              <w:ind w:firstLine="2"/>
              <w:rPr>
                <w:rStyle w:val="10"/>
                <w:color w:val="000000" w:themeColor="text1"/>
                <w:sz w:val="28"/>
                <w:szCs w:val="28"/>
              </w:rPr>
            </w:pPr>
            <w:r w:rsidRPr="00452114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Наявність єдиного документа з правилами та вимогами з охорони підземних вод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  <w:p w:rsidR="00E24DF2" w:rsidRPr="006130A7" w:rsidRDefault="00452114" w:rsidP="007D5F90">
            <w:pPr>
              <w:widowControl w:val="0"/>
              <w:spacing w:after="120"/>
              <w:ind w:firstLine="2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Визначені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загальні вимоги до оформлення локальни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х мереж спостережних свердловин. В</w:t>
            </w:r>
            <w:r w:rsidRPr="001859C9">
              <w:rPr>
                <w:color w:val="000000" w:themeColor="text1"/>
                <w:sz w:val="28"/>
                <w:szCs w:val="28"/>
                <w:lang w:val="uk-UA"/>
              </w:rPr>
              <w:t>изначення основних вимог для водозаборів підземних вод від початку проектування, планування та будівництва до видобування, використання та обслуговування.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Визначені 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узагальнені вимоги до ліквідації покинутих свердловин та вимо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ги до захоронення зворотних вод. В</w:t>
            </w:r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изначення повноважень </w:t>
            </w:r>
            <w:proofErr w:type="spellStart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Держгеонадр</w:t>
            </w:r>
            <w:proofErr w:type="spellEnd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Держпраці</w:t>
            </w:r>
            <w:proofErr w:type="spellEnd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>Держекоінспекції</w:t>
            </w:r>
            <w:proofErr w:type="spellEnd"/>
            <w:r w:rsidRPr="00E93D86">
              <w:rPr>
                <w:color w:val="000000" w:themeColor="text1"/>
                <w:sz w:val="28"/>
                <w:szCs w:val="28"/>
                <w:lang w:val="uk-UA"/>
              </w:rPr>
              <w:t xml:space="preserve"> щодо державного нагляду (контролю), державного геологічного контролю при охороні підземних вод від виснаження та забруднення.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24DF2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Наближення законодавства України до Європейського рівня.</w:t>
            </w:r>
          </w:p>
        </w:tc>
        <w:tc>
          <w:tcPr>
            <w:tcW w:w="2860" w:type="dxa"/>
          </w:tcPr>
          <w:p w:rsidR="00E24DF2" w:rsidRPr="006130A7" w:rsidRDefault="00E24DF2" w:rsidP="00183293">
            <w:pPr>
              <w:widowControl w:val="0"/>
              <w:spacing w:after="12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Відсутні.</w:t>
            </w:r>
          </w:p>
        </w:tc>
      </w:tr>
    </w:tbl>
    <w:p w:rsidR="00E24DF2" w:rsidRPr="006130A7" w:rsidRDefault="00E24DF2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  <w:t>Оцінка впливу на сферу інтересів громадян</w:t>
      </w:r>
    </w:p>
    <w:p w:rsidR="005C445C" w:rsidRPr="006130A7" w:rsidRDefault="005C445C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Громадяни не є групою, на яку впливатиме регуляторний акт.</w:t>
      </w:r>
    </w:p>
    <w:p w:rsidR="00E24DF2" w:rsidRPr="006130A7" w:rsidRDefault="00E24DF2" w:rsidP="00463736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245"/>
        <w:gridCol w:w="1383"/>
        <w:gridCol w:w="1177"/>
        <w:gridCol w:w="1323"/>
        <w:gridCol w:w="1876"/>
      </w:tblGrid>
      <w:tr w:rsidR="00472CAC" w:rsidRPr="006130A7" w:rsidTr="008A2AC6">
        <w:tc>
          <w:tcPr>
            <w:tcW w:w="2347" w:type="dxa"/>
          </w:tcPr>
          <w:p w:rsidR="00E24DF2" w:rsidRPr="006130A7" w:rsidRDefault="00E24DF2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Показник</w:t>
            </w:r>
          </w:p>
        </w:tc>
        <w:tc>
          <w:tcPr>
            <w:tcW w:w="1245" w:type="dxa"/>
            <w:shd w:val="clear" w:color="auto" w:fill="auto"/>
          </w:tcPr>
          <w:p w:rsidR="00E24DF2" w:rsidRPr="006130A7" w:rsidRDefault="00E24DF2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383" w:type="dxa"/>
            <w:shd w:val="clear" w:color="auto" w:fill="auto"/>
          </w:tcPr>
          <w:p w:rsidR="00E24DF2" w:rsidRPr="006130A7" w:rsidRDefault="00E24DF2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177" w:type="dxa"/>
            <w:shd w:val="clear" w:color="auto" w:fill="auto"/>
          </w:tcPr>
          <w:p w:rsidR="00E24DF2" w:rsidRPr="006130A7" w:rsidRDefault="00E24DF2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323" w:type="dxa"/>
            <w:shd w:val="clear" w:color="auto" w:fill="auto"/>
          </w:tcPr>
          <w:p w:rsidR="00E24DF2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З них </w:t>
            </w:r>
            <w:r w:rsidR="00E24DF2"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876" w:type="dxa"/>
            <w:shd w:val="clear" w:color="auto" w:fill="auto"/>
          </w:tcPr>
          <w:p w:rsidR="00E24DF2" w:rsidRPr="006130A7" w:rsidRDefault="00E24DF2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472CAC" w:rsidRPr="006130A7" w:rsidTr="008A2AC6">
        <w:tc>
          <w:tcPr>
            <w:tcW w:w="2347" w:type="dxa"/>
          </w:tcPr>
          <w:p w:rsidR="00E24DF2" w:rsidRPr="006130A7" w:rsidRDefault="00E24DF2" w:rsidP="00183293">
            <w:pPr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01B23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1B23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380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01B23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5519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1B23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4674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6015D" w:rsidRPr="006130A7" w:rsidRDefault="0096015D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5903</w:t>
            </w:r>
          </w:p>
        </w:tc>
      </w:tr>
      <w:tr w:rsidR="00472CAC" w:rsidRPr="006130A7" w:rsidTr="008A2AC6">
        <w:tc>
          <w:tcPr>
            <w:tcW w:w="2347" w:type="dxa"/>
          </w:tcPr>
          <w:p w:rsidR="00E24DF2" w:rsidRPr="006130A7" w:rsidRDefault="00E24DF2" w:rsidP="00183293">
            <w:pPr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01B23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0,1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01B23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6,4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01B23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93,5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01B23" w:rsidRPr="006130A7" w:rsidRDefault="00401B23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79,2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24DF2" w:rsidRPr="006130A7" w:rsidRDefault="00E24DF2" w:rsidP="0018329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130A7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E24DF2" w:rsidRPr="006130A7" w:rsidRDefault="00E24DF2" w:rsidP="00183293">
      <w:pPr>
        <w:widowControl w:val="0"/>
        <w:spacing w:before="120" w:after="120"/>
        <w:ind w:firstLine="709"/>
        <w:jc w:val="both"/>
        <w:rPr>
          <w:rFonts w:eastAsia="Times New Roman"/>
          <w:i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i/>
          <w:color w:val="000000" w:themeColor="text1"/>
          <w:sz w:val="28"/>
          <w:szCs w:val="28"/>
          <w:lang w:val="uk-UA" w:eastAsia="ru-RU"/>
        </w:rPr>
        <w:t>*Державна служба статистики України.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399"/>
        <w:gridCol w:w="3311"/>
      </w:tblGrid>
      <w:tr w:rsidR="00472CAC" w:rsidRPr="006130A7" w:rsidTr="008A2AC6">
        <w:trPr>
          <w:trHeight w:val="20"/>
        </w:trPr>
        <w:tc>
          <w:tcPr>
            <w:tcW w:w="2646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399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3311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472CAC" w:rsidRPr="006130A7" w:rsidTr="008A2AC6">
        <w:trPr>
          <w:trHeight w:val="20"/>
        </w:trPr>
        <w:tc>
          <w:tcPr>
            <w:tcW w:w="2646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3399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Відсутні.</w:t>
            </w:r>
          </w:p>
        </w:tc>
        <w:tc>
          <w:tcPr>
            <w:tcW w:w="3311" w:type="dxa"/>
          </w:tcPr>
          <w:p w:rsidR="00E24DF2" w:rsidRPr="006130A7" w:rsidRDefault="006744B4" w:rsidP="00E450FF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Залишаються </w:t>
            </w:r>
            <w:r w:rsidR="00E450FF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значні 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витрати </w:t>
            </w:r>
            <w:r w:rsidR="00E450FF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часу на пошук різних нормативно-правових актів для кожного етапу від проектування до експлуатації водозабору підземних вод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</w:tc>
      </w:tr>
      <w:tr w:rsidR="00472CAC" w:rsidRPr="006130A7" w:rsidTr="008A2AC6">
        <w:trPr>
          <w:trHeight w:val="20"/>
        </w:trPr>
        <w:tc>
          <w:tcPr>
            <w:tcW w:w="2646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2.</w:t>
            </w:r>
          </w:p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399" w:type="dxa"/>
          </w:tcPr>
          <w:p w:rsidR="00E24DF2" w:rsidRPr="006130A7" w:rsidRDefault="009212A7" w:rsidP="00E450FF">
            <w:pPr>
              <w:widowControl w:val="0"/>
              <w:shd w:val="clear" w:color="auto" w:fill="FFFFFF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Style w:val="10"/>
                <w:color w:val="000000" w:themeColor="text1"/>
                <w:sz w:val="28"/>
                <w:szCs w:val="28"/>
              </w:rPr>
              <w:t xml:space="preserve">Спрощення </w:t>
            </w:r>
            <w:r w:rsidR="00E450FF">
              <w:rPr>
                <w:rStyle w:val="10"/>
                <w:color w:val="000000" w:themeColor="text1"/>
                <w:sz w:val="28"/>
                <w:szCs w:val="28"/>
              </w:rPr>
              <w:t>процесу нормативного регулювання будівництва та експлуатації водозабору підземних вод</w:t>
            </w:r>
            <w:r w:rsidRPr="006130A7">
              <w:rPr>
                <w:rStyle w:val="10"/>
                <w:color w:val="000000" w:themeColor="text1"/>
                <w:sz w:val="28"/>
                <w:szCs w:val="28"/>
              </w:rPr>
              <w:t>.</w:t>
            </w:r>
            <w:r w:rsidR="00E16A63" w:rsidRPr="006130A7">
              <w:rPr>
                <w:rStyle w:val="10"/>
                <w:color w:val="000000" w:themeColor="text1"/>
                <w:sz w:val="28"/>
                <w:szCs w:val="28"/>
              </w:rPr>
              <w:t xml:space="preserve"> </w:t>
            </w:r>
            <w:r w:rsidR="00E24DF2"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Забезпечення відкритості та прозорості у сфері </w:t>
            </w:r>
            <w:proofErr w:type="spellStart"/>
            <w:r w:rsidR="00E24DF2"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надрокористування</w:t>
            </w:r>
            <w:proofErr w:type="spellEnd"/>
            <w:r w:rsidR="00E24DF2"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3311" w:type="dxa"/>
          </w:tcPr>
          <w:p w:rsidR="00E24DF2" w:rsidRPr="006130A7" w:rsidRDefault="00E24DF2" w:rsidP="00183293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E24DF2" w:rsidRPr="006130A7" w:rsidRDefault="00E24DF2" w:rsidP="00E450FF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А саме: 0,5 год</w:t>
            </w:r>
            <w:r w:rsidR="00E450FF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ини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 на ознайомлення з нормативно-правовим актом.</w:t>
            </w:r>
          </w:p>
        </w:tc>
      </w:tr>
    </w:tbl>
    <w:p w:rsidR="00E24DF2" w:rsidRPr="006130A7" w:rsidRDefault="00E24DF2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bookmarkStart w:id="2" w:name="_Hlk16164988"/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ТЕСТ 1</w:t>
      </w:r>
    </w:p>
    <w:p w:rsidR="00E24DF2" w:rsidRPr="006130A7" w:rsidRDefault="00E24DF2" w:rsidP="00E24DF2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малого підприємництва (М-Тест)</w:t>
      </w:r>
    </w:p>
    <w:p w:rsidR="00E24DF2" w:rsidRPr="006130A7" w:rsidRDefault="00E24DF2" w:rsidP="00E01BED">
      <w:pPr>
        <w:widowControl w:val="0"/>
        <w:tabs>
          <w:tab w:val="left" w:pos="990"/>
        </w:tabs>
        <w:spacing w:before="120"/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E24DF2" w:rsidRPr="006130A7" w:rsidRDefault="00E24DF2" w:rsidP="00E01BED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</w:t>
      </w:r>
      <w:r w:rsidR="0096141B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lastRenderedPageBreak/>
        <w:t>30</w:t>
      </w:r>
      <w:r w:rsidR="009D21DB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.0</w:t>
      </w:r>
      <w:r w:rsidR="0096141B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5</w:t>
      </w:r>
      <w:r w:rsidR="009D21DB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.2022</w:t>
      </w:r>
      <w:r w:rsidR="00B76F0B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по </w:t>
      </w:r>
      <w:r w:rsidR="009D21DB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10.06.2022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9"/>
        <w:gridCol w:w="1842"/>
        <w:gridCol w:w="3402"/>
      </w:tblGrid>
      <w:tr w:rsidR="00472CAC" w:rsidRPr="006130A7" w:rsidTr="008A2AC6">
        <w:tc>
          <w:tcPr>
            <w:tcW w:w="988" w:type="dxa"/>
            <w:shd w:val="clear" w:color="auto" w:fill="auto"/>
            <w:vAlign w:val="center"/>
          </w:tcPr>
          <w:p w:rsidR="00E24DF2" w:rsidRPr="006130A7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4DF2" w:rsidRPr="006130A7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4DF2" w:rsidRPr="006130A7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4DF2" w:rsidRPr="006130A7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Основні результати консультацій</w:t>
            </w:r>
          </w:p>
        </w:tc>
      </w:tr>
      <w:tr w:rsidR="00E24DF2" w:rsidRPr="006130A7" w:rsidTr="008A2AC6">
        <w:tc>
          <w:tcPr>
            <w:tcW w:w="988" w:type="dxa"/>
            <w:shd w:val="clear" w:color="auto" w:fill="auto"/>
          </w:tcPr>
          <w:p w:rsidR="00E24DF2" w:rsidRPr="006130A7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24DF2" w:rsidRPr="006130A7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Телефонні консультації із суб’єктами підприємницької діяльності – </w:t>
            </w:r>
            <w:proofErr w:type="spellStart"/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надрокористувачами</w:t>
            </w:r>
            <w:proofErr w:type="spellEnd"/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24DF2" w:rsidRPr="006130A7" w:rsidRDefault="0096141B" w:rsidP="002870B6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E24DF2" w:rsidRPr="006130A7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Регулювання сприймається.</w:t>
            </w:r>
          </w:p>
          <w:p w:rsidR="00E24DF2" w:rsidRPr="006130A7" w:rsidRDefault="00E24DF2" w:rsidP="002870B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E24DF2" w:rsidRPr="006130A7" w:rsidRDefault="00E24DF2" w:rsidP="00E450FF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ознайомитис</w:t>
            </w:r>
            <w:r w:rsidR="00E450FF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я з узагальненими вимогами регулювання 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– </w:t>
            </w:r>
            <w:r w:rsidR="00E450FF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0,5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</w:tbl>
    <w:p w:rsidR="00E24DF2" w:rsidRPr="006130A7" w:rsidRDefault="00E24DF2" w:rsidP="00E01BED">
      <w:pPr>
        <w:widowControl w:val="0"/>
        <w:tabs>
          <w:tab w:val="left" w:pos="990"/>
        </w:tabs>
        <w:spacing w:before="120"/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2. Вимірювання впливу регулювання на суб’єктів малого підприємництва:</w:t>
      </w:r>
    </w:p>
    <w:p w:rsidR="00E24DF2" w:rsidRPr="006130A7" w:rsidRDefault="00E24DF2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кількість суб'єктів малого (мікро) підприємництва, на яких поширюється регулювання: </w:t>
      </w:r>
      <w:r w:rsidR="00D04D45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5519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:rsidR="001914EA" w:rsidRPr="006130A7" w:rsidRDefault="00E24DF2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питома вага суб'єктів малого</w:t>
      </w:r>
      <w:r w:rsidR="002870B6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(мікро)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підприємництва у загальній кількості суб'єктів господарювання, на яких проблема справляє вплив </w:t>
      </w:r>
      <w:r w:rsidR="00D04D45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93,5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%.</w:t>
      </w:r>
      <w:r w:rsidR="001914EA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E24DF2" w:rsidRPr="006130A7" w:rsidRDefault="001914EA" w:rsidP="00E01BED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3. </w:t>
      </w:r>
      <w:r w:rsidR="00E24DF2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Розрахунок витрат суб’єкта малого </w:t>
      </w:r>
      <w:r w:rsidR="002870B6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(мікро) </w:t>
      </w:r>
      <w:r w:rsidR="00E24DF2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підприємництва на виконання вимог регулювання</w:t>
      </w:r>
      <w:r w:rsidR="00E24DF2"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E24DF2" w:rsidRPr="006130A7" w:rsidRDefault="00E24DF2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У розрахунку вартості 1 години роботи використано вартість 1 години роботи, яка відповідно до Закону України «Про Державний бюджет України на 2021 рік», з 1 </w:t>
      </w:r>
      <w:r w:rsidR="00084E6C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січня 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202</w:t>
      </w:r>
      <w:r w:rsidR="00084E6C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2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року становить – </w:t>
      </w:r>
      <w:r w:rsidR="00084E6C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39,26 гривні</w:t>
      </w:r>
      <w:r w:rsidR="00E450FF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:rsidR="00E24DF2" w:rsidRPr="006130A7" w:rsidRDefault="00E24DF2" w:rsidP="00D04D45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450FF" w:rsidRPr="00E450FF">
        <w:rPr>
          <w:rFonts w:eastAsia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="00E450FF" w:rsidRPr="00E450FF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наказу Міністерства захисту довкілля та природних ресурсів України «Про затвердження Правил охорони підземних вод»</w:t>
      </w:r>
      <w:r w:rsidRPr="006130A7">
        <w:rPr>
          <w:color w:val="000000" w:themeColor="text1"/>
          <w:sz w:val="28"/>
          <w:szCs w:val="28"/>
          <w:lang w:val="uk-UA"/>
        </w:rPr>
        <w:t xml:space="preserve"> 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н</w:t>
      </w:r>
      <w:r w:rsidR="00ED1D11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 офіційному </w:t>
      </w:r>
      <w:proofErr w:type="spellStart"/>
      <w:r w:rsidR="00ED1D11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веб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сайті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Державної служби геології та</w:t>
      </w:r>
      <w:r w:rsidR="00D851AE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надр України.</w:t>
      </w:r>
    </w:p>
    <w:p w:rsidR="00E24DF2" w:rsidRPr="006130A7" w:rsidRDefault="00E24DF2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:rsidR="00D04D45" w:rsidRPr="006130A7" w:rsidRDefault="00D04D45" w:rsidP="00E01BED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</w:p>
    <w:p w:rsidR="00E24DF2" w:rsidRPr="006130A7" w:rsidRDefault="00E24DF2" w:rsidP="00E01BED">
      <w:pPr>
        <w:widowControl w:val="0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Розрахунок витрат суб’єктів малого </w:t>
      </w:r>
      <w:r w:rsidR="009B53FC"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(з врахуванням мікро-) </w:t>
      </w: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2141F6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2141F6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2141F6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2141F6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2141F6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За п’ять років</w:t>
            </w:r>
          </w:p>
        </w:tc>
      </w:tr>
      <w:tr w:rsidR="002141F6" w:rsidRPr="006130A7" w:rsidTr="00F074AE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2141F6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2141F6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D04D45" w:rsidP="002141F6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highlight w:val="green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9,815</w:t>
            </w:r>
            <w:r w:rsidR="007D6432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D04D45" w:rsidP="002141F6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highlight w:val="green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9,815</w:t>
            </w:r>
            <w:r w:rsidR="007D6432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  <w:tr w:rsidR="002141F6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2141F6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D04D45" w:rsidP="000D239E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Ознайомлення з </w:t>
            </w:r>
            <w:r w:rsidR="000D239E">
              <w:rPr>
                <w:rFonts w:eastAsiaTheme="minorHAnsi"/>
                <w:sz w:val="28"/>
                <w:szCs w:val="28"/>
                <w:lang w:val="uk-UA" w:eastAsia="ru-RU"/>
              </w:rPr>
              <w:t>Правилами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0D239E" w:rsidP="000D239E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19,63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0D239E" w:rsidP="002141F6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19,63 грн</w:t>
            </w:r>
          </w:p>
        </w:tc>
      </w:tr>
      <w:tr w:rsidR="002141F6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B563A7" w:rsidP="002141F6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0D239E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РАЗОМ (сума рядків: </w:t>
            </w:r>
            <w:r w:rsidR="00383735" w:rsidRPr="006130A7">
              <w:rPr>
                <w:rFonts w:eastAsiaTheme="minorHAnsi"/>
                <w:sz w:val="28"/>
                <w:szCs w:val="28"/>
                <w:lang w:val="uk-UA" w:eastAsia="ru-RU"/>
              </w:rPr>
              <w:t>1+2</w:t>
            </w: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), гривень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0D239E" w:rsidP="007D6432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29,445</w:t>
            </w:r>
            <w:r w:rsidR="002141F6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0D239E" w:rsidP="002141F6">
            <w:pPr>
              <w:tabs>
                <w:tab w:val="left" w:pos="552"/>
                <w:tab w:val="center" w:pos="801"/>
              </w:tabs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29,445</w:t>
            </w:r>
            <w:r w:rsidR="007D6432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  <w:tr w:rsidR="002141F6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B563A7" w:rsidP="002141F6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2141F6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Кількість суб’єктів господарювання </w:t>
            </w:r>
            <w:r w:rsidR="00403AC3" w:rsidRPr="006130A7">
              <w:rPr>
                <w:rFonts w:eastAsiaTheme="minorHAnsi"/>
                <w:sz w:val="28"/>
                <w:szCs w:val="28"/>
                <w:lang w:val="uk-UA" w:eastAsia="ru-RU"/>
              </w:rPr>
              <w:t>малого підприємництва</w:t>
            </w: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D04D45" w:rsidP="002141F6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5519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D04D45" w:rsidP="002141F6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5519</w:t>
            </w:r>
          </w:p>
        </w:tc>
      </w:tr>
      <w:tr w:rsidR="002141F6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B563A7" w:rsidP="002141F6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F6" w:rsidRPr="006130A7" w:rsidRDefault="002141F6" w:rsidP="00B563A7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Сумарні витрати суб’єктів господарювання </w:t>
            </w:r>
            <w:r w:rsidR="00403AC3" w:rsidRPr="006130A7">
              <w:rPr>
                <w:rFonts w:eastAsiaTheme="minorHAnsi"/>
                <w:sz w:val="28"/>
                <w:szCs w:val="28"/>
                <w:lang w:val="uk-UA" w:eastAsia="ru-RU"/>
              </w:rPr>
              <w:t>малого підприємництва</w:t>
            </w: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, на виконання регулювання</w:t>
            </w:r>
            <w:r w:rsidR="00383735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(вартість регулювання) (рядок </w:t>
            </w:r>
            <w:r w:rsidR="00B563A7">
              <w:rPr>
                <w:rFonts w:eastAsiaTheme="minorHAnsi"/>
                <w:sz w:val="28"/>
                <w:szCs w:val="28"/>
                <w:lang w:val="uk-UA" w:eastAsia="ru-RU"/>
              </w:rPr>
              <w:t>3</w:t>
            </w:r>
            <w:r w:rsidR="00383735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х рядок </w:t>
            </w:r>
            <w:r w:rsidR="00B563A7">
              <w:rPr>
                <w:rFonts w:eastAsiaTheme="minorHAnsi"/>
                <w:sz w:val="28"/>
                <w:szCs w:val="28"/>
                <w:lang w:val="uk-UA" w:eastAsia="ru-RU"/>
              </w:rPr>
              <w:t>4</w:t>
            </w: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), гривень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0D239E" w:rsidP="000D239E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ru-RU"/>
              </w:rPr>
              <w:t>162 506</w:t>
            </w:r>
            <w:r w:rsidR="00383735"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eastAsiaTheme="minorHAnsi"/>
                <w:b/>
                <w:sz w:val="28"/>
                <w:szCs w:val="28"/>
                <w:lang w:val="uk-UA" w:eastAsia="ru-RU"/>
              </w:rPr>
              <w:t>955</w:t>
            </w:r>
            <w:r w:rsidR="00383735"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 xml:space="preserve"> </w:t>
            </w:r>
            <w:r w:rsidR="002141F6"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F6" w:rsidRPr="006130A7" w:rsidRDefault="000D239E" w:rsidP="002141F6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ru-RU"/>
              </w:rPr>
              <w:t>162 506</w:t>
            </w: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,</w:t>
            </w:r>
            <w:r>
              <w:rPr>
                <w:rFonts w:eastAsiaTheme="minorHAnsi"/>
                <w:b/>
                <w:sz w:val="28"/>
                <w:szCs w:val="28"/>
                <w:lang w:val="uk-UA" w:eastAsia="ru-RU"/>
              </w:rPr>
              <w:t>955</w:t>
            </w: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</w:tbl>
    <w:p w:rsidR="002141F6" w:rsidRPr="006130A7" w:rsidRDefault="002141F6" w:rsidP="00E01BED">
      <w:pPr>
        <w:widowControl w:val="0"/>
        <w:tabs>
          <w:tab w:val="left" w:pos="990"/>
        </w:tabs>
        <w:spacing w:after="120"/>
        <w:jc w:val="center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4233"/>
      </w:tblGrid>
      <w:tr w:rsidR="00F353AC" w:rsidRPr="006130A7" w:rsidTr="00F074AE">
        <w:tc>
          <w:tcPr>
            <w:tcW w:w="5230" w:type="dxa"/>
            <w:shd w:val="clear" w:color="auto" w:fill="auto"/>
          </w:tcPr>
          <w:p w:rsidR="00F353AC" w:rsidRPr="006130A7" w:rsidRDefault="00F353AC" w:rsidP="00F353AC">
            <w:pPr>
              <w:widowControl w:val="0"/>
              <w:tabs>
                <w:tab w:val="left" w:pos="990"/>
              </w:tabs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233" w:type="dxa"/>
            <w:shd w:val="clear" w:color="auto" w:fill="auto"/>
          </w:tcPr>
          <w:p w:rsidR="00F353AC" w:rsidRPr="006130A7" w:rsidRDefault="00F353AC" w:rsidP="00F353AC">
            <w:pPr>
              <w:widowControl w:val="0"/>
              <w:tabs>
                <w:tab w:val="left" w:pos="990"/>
              </w:tabs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F353AC" w:rsidRPr="006130A7" w:rsidTr="00F074AE">
        <w:tc>
          <w:tcPr>
            <w:tcW w:w="5230" w:type="dxa"/>
            <w:shd w:val="clear" w:color="auto" w:fill="auto"/>
          </w:tcPr>
          <w:p w:rsidR="00F353AC" w:rsidRPr="006130A7" w:rsidRDefault="00F353AC" w:rsidP="00F353AC">
            <w:pPr>
              <w:widowControl w:val="0"/>
              <w:tabs>
                <w:tab w:val="left" w:pos="990"/>
              </w:tabs>
              <w:jc w:val="center"/>
              <w:rPr>
                <w:rFonts w:eastAsiaTheme="minorHAnsi"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233" w:type="dxa"/>
            <w:shd w:val="clear" w:color="auto" w:fill="auto"/>
          </w:tcPr>
          <w:p w:rsidR="00F353AC" w:rsidRPr="004B5A4A" w:rsidRDefault="004B5A4A" w:rsidP="00F353AC">
            <w:pPr>
              <w:widowControl w:val="0"/>
              <w:tabs>
                <w:tab w:val="left" w:pos="990"/>
              </w:tabs>
              <w:jc w:val="center"/>
              <w:rPr>
                <w:rFonts w:eastAsiaTheme="minorHAnsi"/>
                <w:sz w:val="28"/>
                <w:szCs w:val="28"/>
                <w:highlight w:val="yellow"/>
                <w:lang w:val="uk-UA" w:eastAsia="ru-RU"/>
              </w:rPr>
            </w:pPr>
            <w:r w:rsidRPr="004B5A4A">
              <w:rPr>
                <w:rFonts w:eastAsiaTheme="minorHAnsi"/>
                <w:sz w:val="28"/>
                <w:szCs w:val="28"/>
                <w:lang w:val="uk-UA" w:eastAsia="ru-RU"/>
              </w:rPr>
              <w:t>162 506,955 грн</w:t>
            </w:r>
          </w:p>
        </w:tc>
      </w:tr>
      <w:tr w:rsidR="00F353AC" w:rsidRPr="006130A7" w:rsidTr="00F074AE">
        <w:tc>
          <w:tcPr>
            <w:tcW w:w="5230" w:type="dxa"/>
            <w:shd w:val="clear" w:color="auto" w:fill="auto"/>
          </w:tcPr>
          <w:p w:rsidR="00F353AC" w:rsidRPr="006130A7" w:rsidRDefault="00F353AC" w:rsidP="00F353AC">
            <w:pPr>
              <w:widowControl w:val="0"/>
              <w:tabs>
                <w:tab w:val="left" w:pos="990"/>
              </w:tabs>
              <w:jc w:val="center"/>
              <w:rPr>
                <w:rFonts w:eastAsiaTheme="minorHAnsi"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233" w:type="dxa"/>
            <w:shd w:val="clear" w:color="auto" w:fill="auto"/>
          </w:tcPr>
          <w:p w:rsidR="00F353AC" w:rsidRPr="004B5A4A" w:rsidRDefault="004B5A4A" w:rsidP="00F353AC">
            <w:pPr>
              <w:widowControl w:val="0"/>
              <w:tabs>
                <w:tab w:val="left" w:pos="990"/>
              </w:tabs>
              <w:jc w:val="center"/>
              <w:rPr>
                <w:rFonts w:eastAsiaTheme="minorHAnsi"/>
                <w:sz w:val="28"/>
                <w:szCs w:val="28"/>
                <w:highlight w:val="yellow"/>
                <w:lang w:val="uk-UA" w:eastAsia="ru-RU"/>
              </w:rPr>
            </w:pPr>
            <w:r w:rsidRPr="004B5A4A">
              <w:rPr>
                <w:rFonts w:eastAsiaTheme="minorHAnsi"/>
                <w:sz w:val="28"/>
                <w:szCs w:val="28"/>
                <w:lang w:val="uk-UA" w:eastAsia="ru-RU"/>
              </w:rPr>
              <w:t>162 506,955 грн</w:t>
            </w:r>
          </w:p>
        </w:tc>
      </w:tr>
      <w:bookmarkEnd w:id="2"/>
    </w:tbl>
    <w:p w:rsidR="00F353AC" w:rsidRPr="006130A7" w:rsidRDefault="00F353AC" w:rsidP="00282DD6">
      <w:pPr>
        <w:widowControl w:val="0"/>
        <w:tabs>
          <w:tab w:val="left" w:pos="990"/>
        </w:tabs>
        <w:ind w:left="270"/>
        <w:jc w:val="center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</w:p>
    <w:p w:rsidR="00E24DF2" w:rsidRPr="006130A7" w:rsidRDefault="00E24DF2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Витрати на суб’єкт</w:t>
      </w:r>
      <w:r w:rsidR="009B53FC"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ів</w:t>
      </w: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господарювання великого і середнього підприємництва, які виникають внаслідок дії регуляторного </w:t>
      </w:r>
      <w:proofErr w:type="spellStart"/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акта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F353AC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6130A7" w:rsidRDefault="00F353AC" w:rsidP="00F353A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6130A7" w:rsidRDefault="00F353AC" w:rsidP="00F353A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6130A7" w:rsidRDefault="00F353AC" w:rsidP="00F353A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6130A7" w:rsidRDefault="00F353AC" w:rsidP="00F353A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За п’ять років</w:t>
            </w:r>
          </w:p>
        </w:tc>
      </w:tr>
      <w:tr w:rsidR="009B53FC" w:rsidRPr="006130A7" w:rsidTr="00F074AE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FC" w:rsidRPr="006130A7" w:rsidRDefault="009B53FC" w:rsidP="009B53FC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FC" w:rsidRPr="006130A7" w:rsidRDefault="009B53FC" w:rsidP="009B53FC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C" w:rsidRPr="006130A7" w:rsidRDefault="009B53FC" w:rsidP="009B53FC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highlight w:val="green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9,815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C" w:rsidRPr="006130A7" w:rsidRDefault="009B53FC" w:rsidP="009B53FC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highlight w:val="green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9,815 грн</w:t>
            </w:r>
          </w:p>
        </w:tc>
      </w:tr>
      <w:tr w:rsidR="00E17959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6130A7" w:rsidRDefault="004B5A4A" w:rsidP="00E17959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6130A7" w:rsidRDefault="00E17959" w:rsidP="00E17959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Введення інформації до реєстру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6130A7" w:rsidRDefault="00E17959" w:rsidP="00E17959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19,63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6130A7" w:rsidRDefault="00E17959" w:rsidP="00E17959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19,63 грн</w:t>
            </w:r>
          </w:p>
        </w:tc>
      </w:tr>
      <w:tr w:rsidR="009B53FC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C" w:rsidRPr="006130A7" w:rsidRDefault="00B563A7" w:rsidP="009B53FC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FC" w:rsidRPr="006130A7" w:rsidRDefault="009B53FC" w:rsidP="004B5A4A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РАЗОМ (сума рядків: 1+2), гривень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C" w:rsidRPr="006130A7" w:rsidRDefault="004B5A4A" w:rsidP="009B53FC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29,445</w:t>
            </w:r>
            <w:r w:rsidR="009B53FC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C" w:rsidRPr="006130A7" w:rsidRDefault="004B5A4A" w:rsidP="009B53FC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29,445</w:t>
            </w:r>
            <w:r w:rsidR="009B53FC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  <w:tr w:rsidR="00F353AC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AC" w:rsidRPr="006130A7" w:rsidRDefault="00B563A7" w:rsidP="00F353AC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6130A7" w:rsidRDefault="00F353AC" w:rsidP="00F353AC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C" w:rsidRPr="006130A7" w:rsidRDefault="00F353AC" w:rsidP="00F353AC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353AC" w:rsidRPr="006130A7" w:rsidRDefault="009B53FC" w:rsidP="00F353AC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384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C" w:rsidRPr="006130A7" w:rsidRDefault="00F353AC" w:rsidP="00F353AC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353AC" w:rsidRPr="006130A7" w:rsidRDefault="009B53FC" w:rsidP="00F353AC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384</w:t>
            </w:r>
          </w:p>
        </w:tc>
      </w:tr>
      <w:tr w:rsidR="00F353AC" w:rsidRPr="006130A7" w:rsidTr="00F07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AC" w:rsidRPr="006130A7" w:rsidRDefault="00B563A7" w:rsidP="00F353AC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AC" w:rsidRPr="006130A7" w:rsidRDefault="00F353AC" w:rsidP="00B563A7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</w:t>
            </w:r>
            <w:r w:rsidR="00517E01"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(вартість регулювання) (рядок </w:t>
            </w:r>
            <w:r w:rsidR="00B563A7">
              <w:rPr>
                <w:rFonts w:eastAsiaTheme="minorHAnsi"/>
                <w:sz w:val="28"/>
                <w:szCs w:val="28"/>
                <w:lang w:val="uk-UA" w:eastAsia="ru-RU"/>
              </w:rPr>
              <w:t>3</w:t>
            </w: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 xml:space="preserve"> х рядок </w:t>
            </w:r>
            <w:r w:rsidR="00B563A7">
              <w:rPr>
                <w:rFonts w:eastAsiaTheme="minorHAnsi"/>
                <w:sz w:val="28"/>
                <w:szCs w:val="28"/>
                <w:lang w:val="uk-UA" w:eastAsia="ru-RU"/>
              </w:rPr>
              <w:t>4</w:t>
            </w: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), гривень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AC" w:rsidRPr="006130A7" w:rsidRDefault="00B563A7" w:rsidP="00B563A7">
            <w:pPr>
              <w:jc w:val="center"/>
              <w:rPr>
                <w:rFonts w:eastAsiaTheme="minorHAnsi"/>
                <w:b/>
                <w:sz w:val="28"/>
                <w:szCs w:val="28"/>
                <w:highlight w:val="green"/>
                <w:lang w:val="uk-UA" w:eastAsia="ru-RU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ru-RU"/>
              </w:rPr>
              <w:t>11 306,88</w:t>
            </w:r>
            <w:r w:rsidR="00517E01"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 xml:space="preserve"> </w:t>
            </w:r>
            <w:r w:rsidR="00F353AC"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AC" w:rsidRPr="006130A7" w:rsidRDefault="00B563A7" w:rsidP="00F353AC">
            <w:pPr>
              <w:jc w:val="center"/>
              <w:rPr>
                <w:rFonts w:eastAsiaTheme="minorHAnsi"/>
                <w:b/>
                <w:sz w:val="28"/>
                <w:szCs w:val="28"/>
                <w:highlight w:val="green"/>
                <w:lang w:val="uk-UA" w:eastAsia="ru-RU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ru-RU"/>
              </w:rPr>
              <w:t>11 306,88</w:t>
            </w: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</w:tbl>
    <w:p w:rsidR="00F353AC" w:rsidRPr="006130A7" w:rsidRDefault="00F353AC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color w:val="000000" w:themeColor="text1"/>
          <w:sz w:val="28"/>
          <w:szCs w:val="28"/>
          <w:lang w:val="uk-UA" w:eastAsia="ru-RU"/>
        </w:rPr>
      </w:pPr>
    </w:p>
    <w:p w:rsidR="00B727FF" w:rsidRPr="006130A7" w:rsidRDefault="00B727FF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33"/>
      </w:tblGrid>
      <w:tr w:rsidR="00360B74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360B74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4" w:rsidRPr="006130A7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360B74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8C7567" w:rsidP="00BC0AD0">
            <w:pPr>
              <w:widowControl w:val="0"/>
              <w:tabs>
                <w:tab w:val="left" w:pos="990"/>
              </w:tabs>
              <w:spacing w:before="120" w:after="120"/>
              <w:ind w:left="64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sz w:val="28"/>
                <w:szCs w:val="28"/>
                <w:lang w:val="uk-UA" w:eastAsia="ru-RU"/>
              </w:rPr>
              <w:t xml:space="preserve">Витрати на </w:t>
            </w:r>
            <w:r w:rsidR="00BC0AD0">
              <w:rPr>
                <w:rFonts w:eastAsia="Times New Roman"/>
                <w:sz w:val="28"/>
                <w:szCs w:val="28"/>
                <w:lang w:val="uk-UA" w:eastAsia="ru-RU"/>
              </w:rPr>
              <w:t>постійні роз’яснення щодо нормативного регулювання по водозаборам підземних вод</w:t>
            </w:r>
          </w:p>
        </w:tc>
      </w:tr>
      <w:tr w:rsidR="00360B74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360B74" w:rsidP="009B53F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BC0AD0" w:rsidRDefault="00BC0AD0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C0AD0">
              <w:rPr>
                <w:rFonts w:eastAsiaTheme="minorHAnsi"/>
                <w:sz w:val="28"/>
                <w:szCs w:val="28"/>
                <w:lang w:val="uk-UA" w:eastAsia="ru-RU"/>
              </w:rPr>
              <w:t>11 306,88 грн</w:t>
            </w:r>
          </w:p>
        </w:tc>
      </w:tr>
      <w:tr w:rsidR="00360B74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360B74" w:rsidP="009B53F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iCs/>
                <w:sz w:val="28"/>
                <w:szCs w:val="28"/>
                <w:lang w:val="uk-UA" w:eastAsia="ru-RU"/>
              </w:rPr>
              <w:lastRenderedPageBreak/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BC0AD0" w:rsidRDefault="00BC0AD0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i/>
                <w:iCs/>
                <w:sz w:val="28"/>
                <w:szCs w:val="28"/>
                <w:lang w:val="uk-UA" w:eastAsia="ru-RU"/>
              </w:rPr>
            </w:pPr>
            <w:r w:rsidRPr="00BC0AD0">
              <w:rPr>
                <w:rFonts w:eastAsiaTheme="minorHAnsi"/>
                <w:sz w:val="28"/>
                <w:szCs w:val="28"/>
                <w:lang w:val="uk-UA" w:eastAsia="ru-RU"/>
              </w:rPr>
              <w:t>162 506,955 грн</w:t>
            </w:r>
          </w:p>
        </w:tc>
      </w:tr>
      <w:tr w:rsidR="00360B74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4" w:rsidRPr="006130A7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360B74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360B74" w:rsidP="00360B7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74" w:rsidRPr="006130A7" w:rsidRDefault="00BC0AD0" w:rsidP="008C756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Відсутні</w:t>
            </w:r>
          </w:p>
        </w:tc>
      </w:tr>
      <w:tr w:rsidR="00BC0AD0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0" w:rsidRPr="006130A7" w:rsidRDefault="00BC0AD0" w:rsidP="00BC0AD0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0" w:rsidRPr="00BC0AD0" w:rsidRDefault="00BC0AD0" w:rsidP="00BC0AD0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C0AD0">
              <w:rPr>
                <w:rFonts w:eastAsiaTheme="minorHAnsi"/>
                <w:sz w:val="28"/>
                <w:szCs w:val="28"/>
                <w:lang w:val="uk-UA" w:eastAsia="ru-RU"/>
              </w:rPr>
              <w:t>11 306,88 грн</w:t>
            </w:r>
          </w:p>
        </w:tc>
      </w:tr>
      <w:tr w:rsidR="00BC0AD0" w:rsidRPr="006130A7" w:rsidTr="00360B7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0" w:rsidRPr="006130A7" w:rsidRDefault="00BC0AD0" w:rsidP="00BC0AD0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iCs/>
                <w:sz w:val="28"/>
                <w:szCs w:val="28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0" w:rsidRPr="00BC0AD0" w:rsidRDefault="00BC0AD0" w:rsidP="00BC0AD0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i/>
                <w:iCs/>
                <w:sz w:val="28"/>
                <w:szCs w:val="28"/>
                <w:lang w:val="uk-UA" w:eastAsia="ru-RU"/>
              </w:rPr>
            </w:pPr>
            <w:r w:rsidRPr="00BC0AD0">
              <w:rPr>
                <w:rFonts w:eastAsiaTheme="minorHAnsi"/>
                <w:sz w:val="28"/>
                <w:szCs w:val="28"/>
                <w:lang w:val="uk-UA" w:eastAsia="ru-RU"/>
              </w:rPr>
              <w:t>162 506,955 грн</w:t>
            </w:r>
          </w:p>
        </w:tc>
      </w:tr>
    </w:tbl>
    <w:p w:rsidR="00360B74" w:rsidRPr="006130A7" w:rsidRDefault="00360B74" w:rsidP="00282DD6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</w:p>
    <w:p w:rsidR="00E600ED" w:rsidRPr="006130A7" w:rsidRDefault="00CD699A" w:rsidP="00E600ED">
      <w:pPr>
        <w:widowControl w:val="0"/>
        <w:tabs>
          <w:tab w:val="left" w:pos="1315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130A7">
        <w:rPr>
          <w:rFonts w:eastAsiaTheme="minorHAnsi"/>
          <w:sz w:val="28"/>
          <w:szCs w:val="28"/>
          <w:lang w:val="uk-UA" w:eastAsia="en-US"/>
        </w:rPr>
        <w:t>Внаслідок прийняття р</w:t>
      </w:r>
      <w:r w:rsidR="00E600ED" w:rsidRPr="006130A7">
        <w:rPr>
          <w:rFonts w:eastAsiaTheme="minorHAnsi"/>
          <w:sz w:val="28"/>
          <w:szCs w:val="28"/>
          <w:lang w:val="uk-UA" w:eastAsia="en-US"/>
        </w:rPr>
        <w:t xml:space="preserve">егуляторного </w:t>
      </w:r>
      <w:proofErr w:type="spellStart"/>
      <w:r w:rsidR="00E600ED" w:rsidRPr="006130A7">
        <w:rPr>
          <w:rFonts w:eastAsiaTheme="minorHAnsi"/>
          <w:sz w:val="28"/>
          <w:szCs w:val="28"/>
          <w:lang w:val="uk-UA" w:eastAsia="en-US"/>
        </w:rPr>
        <w:t>акта</w:t>
      </w:r>
      <w:proofErr w:type="spellEnd"/>
      <w:r w:rsidR="00E600ED" w:rsidRPr="006130A7">
        <w:rPr>
          <w:rFonts w:eastAsiaTheme="minorHAnsi"/>
          <w:sz w:val="28"/>
          <w:szCs w:val="28"/>
          <w:lang w:val="uk-UA" w:eastAsia="en-US"/>
        </w:rPr>
        <w:t xml:space="preserve"> </w:t>
      </w:r>
      <w:r w:rsidR="00E17959" w:rsidRPr="006130A7">
        <w:rPr>
          <w:rFonts w:eastAsiaTheme="minorHAnsi"/>
          <w:sz w:val="28"/>
          <w:szCs w:val="28"/>
          <w:lang w:val="uk-UA" w:eastAsia="en-US"/>
        </w:rPr>
        <w:t xml:space="preserve">не </w:t>
      </w:r>
      <w:r w:rsidR="00E600ED" w:rsidRPr="006130A7">
        <w:rPr>
          <w:rFonts w:eastAsiaTheme="minorHAnsi"/>
          <w:sz w:val="28"/>
          <w:szCs w:val="28"/>
          <w:lang w:val="uk-UA" w:eastAsia="en-US"/>
        </w:rPr>
        <w:t>прогнозується зменшення витрат суб’єктів господарюван</w:t>
      </w:r>
      <w:r w:rsidR="00E17959" w:rsidRPr="006130A7">
        <w:rPr>
          <w:rFonts w:eastAsiaTheme="minorHAnsi"/>
          <w:sz w:val="28"/>
          <w:szCs w:val="28"/>
          <w:lang w:val="uk-UA" w:eastAsia="en-US"/>
        </w:rPr>
        <w:t>ня.</w:t>
      </w:r>
    </w:p>
    <w:p w:rsidR="00F353AC" w:rsidRPr="006130A7" w:rsidRDefault="00E600ED" w:rsidP="00E600ED">
      <w:pPr>
        <w:widowControl w:val="0"/>
        <w:tabs>
          <w:tab w:val="left" w:pos="990"/>
        </w:tabs>
        <w:spacing w:after="12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130A7">
        <w:rPr>
          <w:rFonts w:eastAsiaTheme="minorHAnsi"/>
          <w:sz w:val="28"/>
          <w:szCs w:val="28"/>
          <w:lang w:val="uk-UA" w:eastAsia="en-US"/>
        </w:rPr>
        <w:t xml:space="preserve">Водночас, прийняття даного регуляторного </w:t>
      </w:r>
      <w:proofErr w:type="spellStart"/>
      <w:r w:rsidRPr="006130A7">
        <w:rPr>
          <w:rFonts w:eastAsiaTheme="minorHAnsi"/>
          <w:sz w:val="28"/>
          <w:szCs w:val="28"/>
          <w:lang w:val="uk-UA" w:eastAsia="en-US"/>
        </w:rPr>
        <w:t>акта</w:t>
      </w:r>
      <w:proofErr w:type="spellEnd"/>
      <w:r w:rsidRPr="006130A7">
        <w:rPr>
          <w:rFonts w:eastAsiaTheme="minorHAnsi"/>
          <w:sz w:val="28"/>
          <w:szCs w:val="28"/>
          <w:lang w:val="uk-UA" w:eastAsia="en-US"/>
        </w:rPr>
        <w:t xml:space="preserve"> дозволить скоротити </w:t>
      </w:r>
      <w:r w:rsidR="00F12936" w:rsidRPr="006130A7">
        <w:rPr>
          <w:rFonts w:eastAsiaTheme="minorHAnsi"/>
          <w:sz w:val="28"/>
          <w:szCs w:val="28"/>
          <w:lang w:val="uk-UA" w:eastAsia="en-US"/>
        </w:rPr>
        <w:t>кількість</w:t>
      </w:r>
      <w:r w:rsidR="00601807" w:rsidRPr="006130A7">
        <w:rPr>
          <w:rFonts w:eastAsiaTheme="minorHAnsi"/>
          <w:sz w:val="28"/>
          <w:szCs w:val="28"/>
          <w:lang w:val="uk-UA" w:eastAsia="en-US"/>
        </w:rPr>
        <w:t xml:space="preserve"> ресурс</w:t>
      </w:r>
      <w:r w:rsidR="00F12936" w:rsidRPr="006130A7">
        <w:rPr>
          <w:rFonts w:eastAsiaTheme="minorHAnsi"/>
          <w:sz w:val="28"/>
          <w:szCs w:val="28"/>
          <w:lang w:val="uk-UA" w:eastAsia="en-US"/>
        </w:rPr>
        <w:t>ів</w:t>
      </w:r>
      <w:r w:rsidRPr="006130A7">
        <w:rPr>
          <w:rFonts w:eastAsiaTheme="minorHAnsi"/>
          <w:sz w:val="28"/>
          <w:szCs w:val="28"/>
          <w:lang w:val="uk-UA" w:eastAsia="en-US"/>
        </w:rPr>
        <w:t xml:space="preserve">, які змушені витрачати суб’єкти господарювання на </w:t>
      </w:r>
      <w:r w:rsidR="00BC0AD0">
        <w:rPr>
          <w:rFonts w:eastAsiaTheme="minorHAnsi"/>
          <w:sz w:val="28"/>
          <w:szCs w:val="28"/>
          <w:lang w:val="uk-UA" w:eastAsia="en-US"/>
        </w:rPr>
        <w:t>ознайомлення з великою кількістю нормативних актів</w:t>
      </w:r>
      <w:r w:rsidR="00CD699A" w:rsidRPr="006130A7">
        <w:rPr>
          <w:rFonts w:eastAsiaTheme="minorHAnsi"/>
          <w:sz w:val="28"/>
          <w:szCs w:val="28"/>
          <w:lang w:val="uk-UA" w:eastAsia="en-US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984"/>
        <w:gridCol w:w="1985"/>
      </w:tblGrid>
      <w:tr w:rsidR="009451B8" w:rsidRPr="006130A7" w:rsidTr="00F07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6130A7" w:rsidRDefault="009451B8" w:rsidP="009451B8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6130A7" w:rsidRDefault="009451B8" w:rsidP="009451B8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Етап процедури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6130A7" w:rsidRDefault="009451B8" w:rsidP="009451B8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Альтернатива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6130A7" w:rsidRDefault="009451B8" w:rsidP="009451B8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sz w:val="28"/>
                <w:szCs w:val="28"/>
                <w:lang w:val="uk-UA" w:eastAsia="ru-RU"/>
              </w:rPr>
              <w:t>Альтернатива 2</w:t>
            </w:r>
          </w:p>
        </w:tc>
      </w:tr>
      <w:tr w:rsidR="009451B8" w:rsidRPr="006130A7" w:rsidTr="00F074AE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6130A7" w:rsidRDefault="009451B8" w:rsidP="009451B8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B8" w:rsidRPr="006130A7" w:rsidRDefault="003B60ED" w:rsidP="003B60ED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Пошук десятків нормативних актів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6130A7" w:rsidRDefault="00E17959" w:rsidP="009451B8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6130A7" w:rsidRDefault="00E17959" w:rsidP="009451B8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-</w:t>
            </w:r>
          </w:p>
        </w:tc>
      </w:tr>
      <w:tr w:rsidR="009451B8" w:rsidRPr="006130A7" w:rsidTr="00F074AE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6130A7" w:rsidRDefault="009451B8" w:rsidP="009451B8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6130A7" w:rsidRDefault="003B60ED" w:rsidP="009451B8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Ознайомлення з десятками нормативних актів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6130A7" w:rsidRDefault="00E17959" w:rsidP="009451B8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B8" w:rsidRPr="006130A7" w:rsidRDefault="00E17959" w:rsidP="00431356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-</w:t>
            </w:r>
          </w:p>
        </w:tc>
      </w:tr>
      <w:tr w:rsidR="003B60ED" w:rsidRPr="006130A7" w:rsidTr="00F074AE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ED" w:rsidRPr="006130A7" w:rsidRDefault="003B60ED" w:rsidP="003B60ED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ED" w:rsidRPr="006130A7" w:rsidRDefault="003B60ED" w:rsidP="003B60ED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Пошук Правил охорони підземних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ED" w:rsidRPr="006130A7" w:rsidRDefault="003B60ED" w:rsidP="003B60ED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ED" w:rsidRPr="006130A7" w:rsidRDefault="003B60ED" w:rsidP="003B60ED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+</w:t>
            </w:r>
          </w:p>
        </w:tc>
      </w:tr>
      <w:tr w:rsidR="003B60ED" w:rsidRPr="006130A7" w:rsidTr="00F074AE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ED" w:rsidRPr="006130A7" w:rsidRDefault="003B60ED" w:rsidP="003B60ED">
            <w:pPr>
              <w:jc w:val="center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ED" w:rsidRPr="006130A7" w:rsidRDefault="003B60ED" w:rsidP="003B60ED">
            <w:pPr>
              <w:jc w:val="both"/>
              <w:rPr>
                <w:rFonts w:eastAsiaTheme="minorHAnsi"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sz w:val="28"/>
                <w:szCs w:val="28"/>
                <w:lang w:val="uk-UA" w:eastAsia="ru-RU"/>
              </w:rPr>
              <w:t>Ознайомлення з Правилами охорони підземних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ED" w:rsidRPr="006130A7" w:rsidRDefault="003B60ED" w:rsidP="003B60ED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ED" w:rsidRPr="006130A7" w:rsidRDefault="003B60ED" w:rsidP="003B60ED">
            <w:pPr>
              <w:keepNext/>
              <w:widowControl w:val="0"/>
              <w:jc w:val="center"/>
              <w:textAlignment w:val="baseline"/>
              <w:rPr>
                <w:rFonts w:eastAsiaTheme="minorHAnsi"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sz w:val="28"/>
                <w:szCs w:val="28"/>
                <w:lang w:val="uk-UA" w:eastAsia="ru-RU"/>
              </w:rPr>
              <w:t>+</w:t>
            </w:r>
          </w:p>
        </w:tc>
      </w:tr>
      <w:tr w:rsidR="00E17959" w:rsidRPr="006130A7" w:rsidTr="00F074AE">
        <w:trPr>
          <w:trHeight w:val="30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6130A7" w:rsidRDefault="00E17959" w:rsidP="00E1795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ru-RU"/>
              </w:rPr>
            </w:pPr>
            <w:r w:rsidRPr="006130A7">
              <w:rPr>
                <w:rFonts w:eastAsiaTheme="minorHAnsi"/>
                <w:b/>
                <w:bCs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6130A7" w:rsidRDefault="003B60ED" w:rsidP="00E17959">
            <w:pPr>
              <w:keepNext/>
              <w:widowControl w:val="0"/>
              <w:jc w:val="center"/>
              <w:textAlignment w:val="baseline"/>
              <w:rPr>
                <w:rFonts w:eastAsiaTheme="minorHAnsi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F12936" w:rsidRPr="006130A7">
              <w:rPr>
                <w:rFonts w:eastAsiaTheme="minorHAnsi"/>
                <w:b/>
                <w:bCs/>
                <w:sz w:val="28"/>
                <w:szCs w:val="28"/>
                <w:lang w:val="uk-UA" w:eastAsia="ru-RU"/>
              </w:rPr>
              <w:t xml:space="preserve"> дії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59" w:rsidRPr="006130A7" w:rsidRDefault="003B60ED" w:rsidP="00E17959">
            <w:pPr>
              <w:keepNext/>
              <w:widowControl w:val="0"/>
              <w:jc w:val="center"/>
              <w:textAlignment w:val="baseline"/>
              <w:rPr>
                <w:rFonts w:eastAsiaTheme="minorHAnsi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F12936" w:rsidRPr="006130A7">
              <w:rPr>
                <w:rFonts w:eastAsiaTheme="minorHAnsi"/>
                <w:b/>
                <w:bCs/>
                <w:sz w:val="28"/>
                <w:szCs w:val="28"/>
                <w:lang w:val="uk-UA" w:eastAsia="ru-RU"/>
              </w:rPr>
              <w:t xml:space="preserve"> дії</w:t>
            </w:r>
          </w:p>
        </w:tc>
      </w:tr>
    </w:tbl>
    <w:p w:rsidR="00B727FF" w:rsidRPr="006130A7" w:rsidRDefault="00B727FF" w:rsidP="005E55DA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</w:p>
    <w:p w:rsidR="00E24DF2" w:rsidRPr="006130A7" w:rsidRDefault="00E24DF2" w:rsidP="005E55DA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811"/>
        <w:gridCol w:w="1315"/>
        <w:gridCol w:w="2410"/>
        <w:gridCol w:w="19"/>
      </w:tblGrid>
      <w:tr w:rsidR="00472CAC" w:rsidRPr="006130A7" w:rsidTr="00337247">
        <w:trPr>
          <w:gridAfter w:val="1"/>
          <w:wAfter w:w="19" w:type="dxa"/>
        </w:trPr>
        <w:tc>
          <w:tcPr>
            <w:tcW w:w="2268" w:type="dxa"/>
          </w:tcPr>
          <w:p w:rsidR="00E24DF2" w:rsidRPr="006130A7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</w:tcPr>
          <w:p w:rsidR="00065A10" w:rsidRPr="006130A7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E24DF2" w:rsidRPr="006130A7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536" w:type="dxa"/>
            <w:gridSpan w:val="3"/>
          </w:tcPr>
          <w:p w:rsidR="00065A10" w:rsidRPr="006130A7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065A10" w:rsidRPr="006130A7" w:rsidRDefault="00065A10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E24DF2" w:rsidRPr="006130A7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472CAC" w:rsidRPr="006130A7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E24DF2" w:rsidRPr="006130A7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1.</w:t>
            </w:r>
          </w:p>
          <w:p w:rsidR="00E24DF2" w:rsidRPr="006130A7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DF2" w:rsidRPr="006130A7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24DF2" w:rsidRPr="006130A7" w:rsidRDefault="00E24DF2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6130A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Залишаються проблеми зазначені у Розділі 1 Аналізу.</w:t>
            </w:r>
          </w:p>
        </w:tc>
      </w:tr>
      <w:tr w:rsidR="00472CAC" w:rsidRPr="006130A7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E24DF2" w:rsidRPr="006130A7" w:rsidRDefault="00E24DF2" w:rsidP="007D7B8D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4DF2" w:rsidRPr="006130A7" w:rsidRDefault="00E24DF2" w:rsidP="007E51B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116413" w:rsidRPr="006130A7" w:rsidRDefault="00E24DF2" w:rsidP="002227A5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Така альтернатива сприятиме досягненню ціл</w:t>
            </w:r>
            <w:r w:rsidR="00116413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ей державного </w:t>
            </w:r>
            <w:r w:rsidR="00116413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регулювання щодо </w:t>
            </w:r>
            <w:r w:rsidR="00A863C8" w:rsidRPr="006130A7">
              <w:rPr>
                <w:rStyle w:val="10"/>
                <w:color w:val="000000" w:themeColor="text1"/>
                <w:sz w:val="28"/>
                <w:szCs w:val="28"/>
              </w:rPr>
              <w:t xml:space="preserve">вирішення у правовому полі питання  </w:t>
            </w:r>
            <w:r w:rsidR="003B60ED">
              <w:rPr>
                <w:rStyle w:val="10"/>
                <w:color w:val="000000" w:themeColor="text1"/>
                <w:sz w:val="28"/>
                <w:szCs w:val="28"/>
              </w:rPr>
              <w:t>узагальнення правил будівництва та експлуатації водозаборів підземних вод</w:t>
            </w:r>
            <w:r w:rsidR="00116413" w:rsidRPr="006130A7">
              <w:rPr>
                <w:rStyle w:val="10"/>
                <w:color w:val="000000" w:themeColor="text1"/>
                <w:sz w:val="28"/>
                <w:szCs w:val="28"/>
              </w:rPr>
              <w:t>,</w:t>
            </w:r>
            <w:r w:rsidR="00116413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</w:t>
            </w: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окращення розвитку</w:t>
            </w:r>
            <w:r w:rsidR="007E2EF5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ресурсного потенціалу держави.</w:t>
            </w:r>
            <w:r w:rsidR="00BF617B" w:rsidRPr="006130A7">
              <w:rPr>
                <w:sz w:val="28"/>
                <w:szCs w:val="28"/>
                <w:lang w:val="uk-UA"/>
              </w:rPr>
              <w:t xml:space="preserve"> </w:t>
            </w:r>
            <w:r w:rsidR="00BF617B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Цілі з прийняттям регуляторного </w:t>
            </w:r>
            <w:proofErr w:type="spellStart"/>
            <w:r w:rsidR="00BF617B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акта</w:t>
            </w:r>
            <w:proofErr w:type="spellEnd"/>
            <w:r w:rsidR="00BF617B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будуть досягнуті повною мірою (проблема більше існувати не буде).</w:t>
            </w:r>
          </w:p>
        </w:tc>
      </w:tr>
      <w:tr w:rsidR="00472CAC" w:rsidRPr="006130A7" w:rsidTr="00337247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337247" w:rsidRPr="006130A7" w:rsidRDefault="00980C59" w:rsidP="0033724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sz w:val="28"/>
                <w:szCs w:val="28"/>
                <w:lang w:val="uk-UA"/>
              </w:rPr>
            </w:pPr>
            <w:r w:rsidRPr="006130A7">
              <w:rPr>
                <w:sz w:val="28"/>
                <w:szCs w:val="28"/>
                <w:lang w:val="uk-UA"/>
              </w:rPr>
              <w:lastRenderedPageBreak/>
              <w:br w:type="page"/>
            </w:r>
          </w:p>
          <w:p w:rsidR="00E24DF2" w:rsidRPr="006130A7" w:rsidRDefault="00E24DF2" w:rsidP="0033724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37247" w:rsidRPr="006130A7" w:rsidRDefault="00337247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24DF2" w:rsidRPr="006130A7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Вигоди </w:t>
            </w:r>
            <w:r w:rsidR="00337247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(підсумок)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42675" w:rsidRPr="006130A7" w:rsidRDefault="00842675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24DF2" w:rsidRPr="006130A7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4DF2" w:rsidRPr="006130A7" w:rsidRDefault="00E24DF2" w:rsidP="008426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472CAC" w:rsidRPr="006130A7" w:rsidTr="00337247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Для держави: </w:t>
            </w:r>
          </w:p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uk-UA"/>
              </w:rPr>
              <w:t>Відсутні</w:t>
            </w:r>
          </w:p>
          <w:p w:rsidR="005B1568" w:rsidRPr="006130A7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  <w:r w:rsidRPr="006130A7"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  <w:t xml:space="preserve">Для суб’єктів господарювання: </w:t>
            </w:r>
          </w:p>
          <w:p w:rsidR="005B1568" w:rsidRPr="006130A7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lang w:val="uk-UA" w:eastAsia="uk-UA"/>
              </w:rPr>
            </w:pPr>
            <w:r w:rsidRPr="006130A7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lang w:val="uk-UA" w:eastAsia="uk-UA"/>
              </w:rPr>
              <w:t>Відсутні</w:t>
            </w:r>
          </w:p>
          <w:p w:rsidR="005B1568" w:rsidRPr="006130A7" w:rsidRDefault="005B1568" w:rsidP="005B1568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color w:val="000000" w:themeColor="text1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Для держави:</w:t>
            </w:r>
          </w:p>
          <w:p w:rsidR="004C14F4" w:rsidRPr="006130A7" w:rsidRDefault="004C14F4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color w:val="000000" w:themeColor="text1"/>
                <w:sz w:val="28"/>
                <w:szCs w:val="28"/>
                <w:lang w:val="uk-UA"/>
              </w:rPr>
            </w:pPr>
            <w:r w:rsidRPr="006130A7">
              <w:rPr>
                <w:rFonts w:eastAsia="Times New Roman"/>
                <w:sz w:val="28"/>
                <w:szCs w:val="28"/>
                <w:lang w:val="uk-UA" w:eastAsia="ru-RU"/>
              </w:rPr>
              <w:t xml:space="preserve">Невиконання вимог законодавства в частині </w:t>
            </w:r>
            <w:r w:rsidR="001A7186">
              <w:rPr>
                <w:rFonts w:eastAsia="Times New Roman"/>
                <w:sz w:val="28"/>
                <w:szCs w:val="28"/>
                <w:lang w:val="uk-UA" w:eastAsia="ru-RU"/>
              </w:rPr>
              <w:t>наявності правил охорони підземних вод</w:t>
            </w:r>
            <w:r w:rsidR="001E514F" w:rsidRPr="006130A7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Для суб’єктів господарювання:</w:t>
            </w:r>
            <w:r w:rsidRPr="006130A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5B1568" w:rsidRPr="006130A7" w:rsidRDefault="004C14F4" w:rsidP="001A7186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Залишаються витрати пов’язані з необхідністю </w:t>
            </w:r>
            <w:r w:rsidR="001A7186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значних затрат часу на опрацювання десятків нормативних актів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Така альтернатива не сприятиме досягненню цілей державного регулювання.</w:t>
            </w:r>
          </w:p>
        </w:tc>
      </w:tr>
      <w:tr w:rsidR="00472CAC" w:rsidRPr="006130A7" w:rsidTr="00337247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2.</w:t>
            </w:r>
          </w:p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Для держави: </w:t>
            </w:r>
          </w:p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Забезпечення </w:t>
            </w:r>
            <w:r w:rsidR="002227A5"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відкритості та прозорості 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сфер</w:t>
            </w:r>
            <w:r w:rsidR="002227A5"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надрокористування</w:t>
            </w:r>
            <w:proofErr w:type="spellEnd"/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Покращення розвитку ресурсного потенціалу держави.</w:t>
            </w:r>
          </w:p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Наближення законодавства України до Європейського рівня.</w:t>
            </w:r>
          </w:p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Для суб’єктів господарювання: </w:t>
            </w:r>
          </w:p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Забезпечення відкритості та прозорості та сфер</w:t>
            </w:r>
            <w:r w:rsidR="002227A5"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надрокористування</w:t>
            </w:r>
            <w:proofErr w:type="spellEnd"/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5B1568" w:rsidRPr="006130A7" w:rsidRDefault="005B1568" w:rsidP="002227A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Забезпечення прав та законних інт</w:t>
            </w:r>
            <w:r w:rsidR="002227A5"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ересів суб’єктів господарювання.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Для держави:</w:t>
            </w: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</w:p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6130A7">
              <w:rPr>
                <w:rFonts w:eastAsia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Відсутні</w:t>
            </w:r>
          </w:p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Для суб’єктів господарюван</w:t>
            </w: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ня: </w:t>
            </w:r>
          </w:p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Прогнозуються витрати, пов’язані з необхідністю ознайомитись з новими вимогами регулювання.</w:t>
            </w:r>
          </w:p>
          <w:p w:rsidR="005B1568" w:rsidRPr="006130A7" w:rsidRDefault="005B1568" w:rsidP="001A7186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Дана альтернатива забезпечує потреби у розв’язанні </w:t>
            </w: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проблеми та досягнення встановлених цілей.</w:t>
            </w:r>
          </w:p>
        </w:tc>
      </w:tr>
      <w:tr w:rsidR="00472CAC" w:rsidRPr="006130A7" w:rsidTr="00337247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72CAC" w:rsidRPr="006130A7" w:rsidTr="00337247">
        <w:tc>
          <w:tcPr>
            <w:tcW w:w="2268" w:type="dxa"/>
            <w:tcBorders>
              <w:top w:val="single" w:sz="4" w:space="0" w:color="auto"/>
            </w:tcBorders>
          </w:tcPr>
          <w:p w:rsidR="00D31B30" w:rsidRPr="006130A7" w:rsidRDefault="00D31B30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B1568" w:rsidRPr="006130A7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:rsidR="005B1568" w:rsidRPr="006130A7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</w:tcBorders>
          </w:tcPr>
          <w:p w:rsidR="005B1568" w:rsidRPr="006130A7" w:rsidRDefault="005B1568" w:rsidP="00D31B3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Оцінка ризику зовнішніх</w:t>
            </w:r>
            <w:r w:rsidRPr="006130A7">
              <w:rPr>
                <w:rFonts w:eastAsia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472CAC" w:rsidRPr="006130A7" w:rsidTr="00337247">
        <w:tc>
          <w:tcPr>
            <w:tcW w:w="2268" w:type="dxa"/>
          </w:tcPr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1.</w:t>
            </w:r>
          </w:p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363" w:type="dxa"/>
            <w:gridSpan w:val="2"/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  <w:tc>
          <w:tcPr>
            <w:tcW w:w="3744" w:type="dxa"/>
            <w:gridSpan w:val="3"/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Відсутні.</w:t>
            </w:r>
          </w:p>
        </w:tc>
      </w:tr>
      <w:tr w:rsidR="005B1568" w:rsidRPr="006130A7" w:rsidTr="00337247">
        <w:tc>
          <w:tcPr>
            <w:tcW w:w="2268" w:type="dxa"/>
          </w:tcPr>
          <w:p w:rsidR="005B1568" w:rsidRPr="006130A7" w:rsidRDefault="005B1568" w:rsidP="005B1568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63" w:type="dxa"/>
            <w:gridSpan w:val="2"/>
          </w:tcPr>
          <w:p w:rsidR="005B1568" w:rsidRPr="006130A7" w:rsidRDefault="005B1568" w:rsidP="00B2100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</w:t>
            </w: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прозорості сфери </w:t>
            </w:r>
            <w:proofErr w:type="spellStart"/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надрокористування</w:t>
            </w:r>
            <w:proofErr w:type="spellEnd"/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3744" w:type="dxa"/>
            <w:gridSpan w:val="3"/>
          </w:tcPr>
          <w:p w:rsidR="005B1568" w:rsidRPr="006130A7" w:rsidRDefault="005B1568" w:rsidP="005B1568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Ризик зовнішніх чинників на дію </w:t>
            </w:r>
            <w:proofErr w:type="spellStart"/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відсутній</w:t>
            </w:r>
            <w:r w:rsidR="002227A5" w:rsidRPr="006130A7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ind w:left="270" w:firstLine="770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</w:p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bookmarkStart w:id="3" w:name="n79"/>
      <w:bookmarkStart w:id="4" w:name="n80"/>
      <w:bookmarkStart w:id="5" w:name="n81"/>
      <w:bookmarkStart w:id="6" w:name="n83"/>
      <w:bookmarkStart w:id="7" w:name="n89"/>
      <w:bookmarkStart w:id="8" w:name="n90"/>
      <w:bookmarkStart w:id="9" w:name="n91"/>
      <w:bookmarkStart w:id="10" w:name="n92"/>
      <w:bookmarkStart w:id="11" w:name="n93"/>
      <w:bookmarkStart w:id="12" w:name="n94"/>
      <w:bookmarkStart w:id="13" w:name="n95"/>
      <w:bookmarkStart w:id="14" w:name="n97"/>
      <w:bookmarkStart w:id="15" w:name="_Hlk48926220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, що в свою чергу забезпечить:</w:t>
      </w:r>
    </w:p>
    <w:p w:rsidR="00E24DF2" w:rsidRPr="006130A7" w:rsidRDefault="001A7186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>наявність узагальнених правил охорони підземних вод</w:t>
      </w:r>
      <w:r w:rsidR="00053ADE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;</w:t>
      </w:r>
    </w:p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відкритість та прозорість сфери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надрокористування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;</w:t>
      </w:r>
    </w:p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конкурент</w:t>
      </w:r>
      <w:r w:rsidR="001A7186">
        <w:rPr>
          <w:rFonts w:eastAsia="Times New Roman"/>
          <w:color w:val="000000" w:themeColor="text1"/>
          <w:sz w:val="28"/>
          <w:szCs w:val="28"/>
          <w:lang w:val="uk-UA" w:eastAsia="ru-RU"/>
        </w:rPr>
        <w:t>ність</w:t>
      </w:r>
      <w:proofErr w:type="spellEnd"/>
      <w:r w:rsidR="001A7186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у сфері </w:t>
      </w:r>
      <w:proofErr w:type="spellStart"/>
      <w:r w:rsidR="001A7186">
        <w:rPr>
          <w:rFonts w:eastAsia="Times New Roman"/>
          <w:color w:val="000000" w:themeColor="text1"/>
          <w:sz w:val="28"/>
          <w:szCs w:val="28"/>
          <w:lang w:val="uk-UA" w:eastAsia="ru-RU"/>
        </w:rPr>
        <w:t>надрокористування</w:t>
      </w:r>
      <w:proofErr w:type="spellEnd"/>
      <w:r w:rsidR="001A7186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:rsidR="00E24DF2" w:rsidRPr="006130A7" w:rsidRDefault="00E24DF2" w:rsidP="007A67E4">
      <w:pPr>
        <w:widowControl w:val="0"/>
        <w:numPr>
          <w:ilvl w:val="0"/>
          <w:numId w:val="3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  <w:t>Організаційні заходи для впровадження регулювання:</w:t>
      </w:r>
    </w:p>
    <w:p w:rsidR="00E24DF2" w:rsidRPr="006130A7" w:rsidRDefault="006D45E6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Для впровадження цього регуляторного </w:t>
      </w:r>
      <w:proofErr w:type="spellStart"/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необхідно забезпечити погодження регуляторного </w:t>
      </w:r>
      <w:proofErr w:type="spellStart"/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із заінтересованими органами, подання на державну реєстрацію до Міністерства юстиції, інформування </w:t>
      </w:r>
      <w:proofErr w:type="spellStart"/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>надрокористувачів</w:t>
      </w:r>
      <w:proofErr w:type="spellEnd"/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про вимоги регуляторного </w:t>
      </w:r>
      <w:proofErr w:type="spellStart"/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226E4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шляхом його оприлюднення у засобах масової інформації та публікації в Офіційному віснику України.</w:t>
      </w:r>
    </w:p>
    <w:p w:rsidR="007E2793" w:rsidRPr="006130A7" w:rsidRDefault="007E2793" w:rsidP="007E2793">
      <w:pPr>
        <w:widowControl w:val="0"/>
        <w:numPr>
          <w:ilvl w:val="0"/>
          <w:numId w:val="3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  <w:t>Організаційні заходи для впровадження регулювання:</w:t>
      </w:r>
    </w:p>
    <w:p w:rsidR="00615A39" w:rsidRPr="006130A7" w:rsidRDefault="007E2793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Ознайомитися з вимогами регулювання (пошук та опрацювання регуляторного акту в мережі Інтернет)</w:t>
      </w:r>
      <w:r w:rsidR="001E514F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, розміщення контактної інформації для консультування суб’єктів господарювання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:rsidR="00980C59" w:rsidRPr="006130A7" w:rsidRDefault="00980C59" w:rsidP="007E2793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</w:p>
    <w:bookmarkEnd w:id="15"/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spacing w:after="120"/>
        <w:ind w:firstLine="709"/>
        <w:jc w:val="both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VI. Оцінка виконання вимог регуляторного </w:t>
      </w:r>
      <w:proofErr w:type="spellStart"/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Реалізація регуляторного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E24DF2" w:rsidRPr="006130A7" w:rsidRDefault="00E24DF2" w:rsidP="005E55DA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bookmarkStart w:id="16" w:name="_Hlk496274919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Проведено розрахунок витрат на одного суб’єкта господарювання</w:t>
      </w:r>
      <w:bookmarkEnd w:id="16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великого і середнього підприємництва в межах даного аналізу.</w:t>
      </w:r>
    </w:p>
    <w:p w:rsidR="00E24DF2" w:rsidRPr="006130A7" w:rsidRDefault="00E24DF2" w:rsidP="00052BB9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Проведено розрахунок витрат суб’єктів малого (</w:t>
      </w:r>
      <w:r w:rsidR="001E514F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з врахуванням 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мікро) підприємництва в межах даного аналізу.</w:t>
      </w:r>
    </w:p>
    <w:p w:rsidR="00F91688" w:rsidRPr="006130A7" w:rsidRDefault="00F91688" w:rsidP="007F3C66">
      <w:pPr>
        <w:widowControl w:val="0"/>
        <w:tabs>
          <w:tab w:val="left" w:pos="-3686"/>
          <w:tab w:val="left" w:pos="990"/>
        </w:tabs>
        <w:ind w:firstLine="770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</w:p>
    <w:p w:rsidR="00E24DF2" w:rsidRPr="006130A7" w:rsidRDefault="00E24DF2" w:rsidP="007F3C66">
      <w:pPr>
        <w:widowControl w:val="0"/>
        <w:spacing w:after="120"/>
        <w:ind w:firstLine="709"/>
        <w:jc w:val="both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акта</w:t>
      </w:r>
      <w:proofErr w:type="spellEnd"/>
    </w:p>
    <w:p w:rsidR="00E24DF2" w:rsidRPr="006130A7" w:rsidRDefault="00E24DF2" w:rsidP="00E24DF2">
      <w:pPr>
        <w:ind w:right="-1"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6130A7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Строк дії цього регуляторного </w:t>
      </w:r>
      <w:proofErr w:type="spellStart"/>
      <w:r w:rsidRPr="006130A7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акта</w:t>
      </w:r>
      <w:proofErr w:type="spellEnd"/>
      <w:r w:rsidRPr="006130A7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6130A7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акта</w:t>
      </w:r>
      <w:proofErr w:type="spellEnd"/>
      <w:r w:rsidRPr="006130A7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є постійною.</w:t>
      </w:r>
    </w:p>
    <w:p w:rsidR="00E24DF2" w:rsidRPr="006130A7" w:rsidRDefault="00E24DF2" w:rsidP="00E24DF2">
      <w:pPr>
        <w:ind w:right="-1"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:rsidR="00E24DF2" w:rsidRPr="006130A7" w:rsidRDefault="00E24DF2" w:rsidP="00052BB9">
      <w:pPr>
        <w:widowControl w:val="0"/>
        <w:tabs>
          <w:tab w:val="left" w:pos="0"/>
        </w:tabs>
        <w:spacing w:before="120" w:after="120"/>
        <w:ind w:firstLine="709"/>
        <w:jc w:val="both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акта</w:t>
      </w:r>
      <w:proofErr w:type="spellEnd"/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lastRenderedPageBreak/>
        <w:t xml:space="preserve">Прогнозними значеннями показників результативності регуляторного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є: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1. Розмір надходжень до державного та місцевих бюджетів і державних цільових фондів, пов’яза</w:t>
      </w:r>
      <w:r w:rsidR="00D93249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них із дією </w:t>
      </w:r>
      <w:proofErr w:type="spellStart"/>
      <w:r w:rsidR="00D93249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="00D93249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  – не прогнозує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ться. </w:t>
      </w:r>
    </w:p>
    <w:p w:rsidR="00E24DF2" w:rsidRPr="006130A7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2. Кількість суб’єктів господарювання:</w:t>
      </w:r>
    </w:p>
    <w:p w:rsidR="00E24DF2" w:rsidRPr="006130A7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суб’єктів господарювання великого і середнього підприємництва – </w:t>
      </w:r>
      <w:r w:rsidR="00294FD8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384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;</w:t>
      </w:r>
    </w:p>
    <w:p w:rsidR="00E24DF2" w:rsidRPr="006130A7" w:rsidRDefault="00E24DF2" w:rsidP="00E24DF2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суб’єктів господарювання малого та мікро підприємництва – </w:t>
      </w:r>
      <w:r w:rsidR="00294FD8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5519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– низький.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4. Розмір коштів, які витрачатимуться суб’єктом господарювання у зв’язку із виконанням вимог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: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для одного суб’єкта господарювання великого і середнього підприємництва:</w:t>
      </w:r>
      <w:r w:rsidRPr="006130A7">
        <w:rPr>
          <w:color w:val="000000" w:themeColor="text1"/>
          <w:sz w:val="28"/>
          <w:szCs w:val="28"/>
          <w:lang w:val="uk-UA"/>
        </w:rPr>
        <w:t xml:space="preserve"> </w:t>
      </w:r>
      <w:r w:rsidR="00130162">
        <w:rPr>
          <w:rFonts w:eastAsia="Times New Roman"/>
          <w:color w:val="000000" w:themeColor="text1"/>
          <w:sz w:val="28"/>
          <w:szCs w:val="28"/>
          <w:lang w:val="uk-UA" w:eastAsia="ru-RU"/>
        </w:rPr>
        <w:t>29,445</w:t>
      </w:r>
      <w:r w:rsidR="00C27EB2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грн.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для одного суб’єкта господарювання малого та мікро підприємництва:                </w:t>
      </w:r>
      <w:r w:rsidR="00130162">
        <w:rPr>
          <w:rFonts w:eastAsia="Times New Roman"/>
          <w:color w:val="000000" w:themeColor="text1"/>
          <w:sz w:val="28"/>
          <w:szCs w:val="28"/>
          <w:lang w:val="uk-UA" w:eastAsia="ru-RU"/>
        </w:rPr>
        <w:t>29,445</w:t>
      </w:r>
      <w:r w:rsidR="00EF4C9C"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грн.</w:t>
      </w:r>
    </w:p>
    <w:p w:rsidR="00E24DF2" w:rsidRPr="006130A7" w:rsidRDefault="00E24DF2" w:rsidP="00E24DF2">
      <w:pPr>
        <w:widowControl w:val="0"/>
        <w:numPr>
          <w:ilvl w:val="0"/>
          <w:numId w:val="4"/>
        </w:numPr>
        <w:tabs>
          <w:tab w:val="left" w:pos="990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Кількість часу, який витрачатиметься суб’єктом господарювання у зв’язку із виконанням вимог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:</w:t>
      </w:r>
    </w:p>
    <w:p w:rsidR="00E24DF2" w:rsidRPr="006130A7" w:rsidRDefault="00E24DF2" w:rsidP="00E24DF2">
      <w:pPr>
        <w:widowControl w:val="0"/>
        <w:ind w:firstLine="709"/>
        <w:jc w:val="both"/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130162"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  <w:t>0,5</w:t>
      </w:r>
      <w:r w:rsidRPr="006130A7"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  <w:t xml:space="preserve"> год.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  <w:t xml:space="preserve">для одного суб’єкта господарювання малого та мікро підприємництва: </w:t>
      </w:r>
      <w:r w:rsidR="00130162"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  <w:t>0,5</w:t>
      </w:r>
      <w:r w:rsidRPr="006130A7"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  <w:t xml:space="preserve"> год.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6. Рівень поінформованості суб’єктів господарювання і фізичних осіб – високий.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та відповідний аналіз регуляторного впливу оприлюднено на офіційному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вебсайті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bookmarkStart w:id="17" w:name="_Hlk23429338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Державної служби геології та надр України</w:t>
      </w:r>
      <w:bookmarkEnd w:id="17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Після прийняття та державної реєстрації регуляторного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він буде опублікований у Офіційному віснику України та засобах масової інформації.</w:t>
      </w:r>
    </w:p>
    <w:p w:rsidR="00AF1D40" w:rsidRPr="006130A7" w:rsidRDefault="00E24DF2" w:rsidP="00052BB9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130A7"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6130A7"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  <w:t>акта</w:t>
      </w:r>
      <w:proofErr w:type="spellEnd"/>
      <w:r w:rsidRPr="006130A7">
        <w:rPr>
          <w:rFonts w:eastAsia="Times New Roman"/>
          <w:color w:val="000000" w:themeColor="text1"/>
          <w:sz w:val="28"/>
          <w:szCs w:val="28"/>
          <w:u w:val="single"/>
          <w:lang w:val="uk-UA" w:eastAsia="ru-RU"/>
        </w:rPr>
        <w:t>, виходячи з його цілей, слугуватимуть:</w:t>
      </w:r>
    </w:p>
    <w:p w:rsidR="00AF1D40" w:rsidRPr="008F590F" w:rsidRDefault="00AF1D40" w:rsidP="008F590F">
      <w:pPr>
        <w:pStyle w:val="a8"/>
        <w:widowControl w:val="0"/>
        <w:numPr>
          <w:ilvl w:val="0"/>
          <w:numId w:val="18"/>
        </w:numPr>
        <w:tabs>
          <w:tab w:val="left" w:pos="990"/>
        </w:tabs>
        <w:spacing w:before="120" w:after="120"/>
        <w:jc w:val="both"/>
        <w:rPr>
          <w:bCs/>
          <w:color w:val="000000" w:themeColor="text1"/>
          <w:sz w:val="28"/>
          <w:szCs w:val="28"/>
          <w:lang w:val="uk-UA" w:eastAsia="ru-RU"/>
        </w:rPr>
      </w:pPr>
      <w:r w:rsidRPr="008F590F">
        <w:rPr>
          <w:bCs/>
          <w:color w:val="000000" w:themeColor="text1"/>
          <w:sz w:val="28"/>
          <w:szCs w:val="28"/>
          <w:lang w:val="uk-UA" w:eastAsia="ru-RU"/>
        </w:rPr>
        <w:t xml:space="preserve">Кількість </w:t>
      </w:r>
      <w:r w:rsidR="00294FD8" w:rsidRPr="008F590F">
        <w:rPr>
          <w:bCs/>
          <w:color w:val="000000" w:themeColor="text1"/>
          <w:sz w:val="28"/>
          <w:szCs w:val="28"/>
          <w:lang w:val="uk-UA" w:eastAsia="ru-RU"/>
        </w:rPr>
        <w:t xml:space="preserve">суб’єктів господарювання, які </w:t>
      </w:r>
      <w:r w:rsidR="00130162" w:rsidRPr="008F590F">
        <w:rPr>
          <w:bCs/>
          <w:color w:val="000000" w:themeColor="text1"/>
          <w:sz w:val="28"/>
          <w:szCs w:val="28"/>
          <w:lang w:val="uk-UA" w:eastAsia="ru-RU"/>
        </w:rPr>
        <w:t xml:space="preserve">звернулися до </w:t>
      </w:r>
      <w:proofErr w:type="spellStart"/>
      <w:r w:rsidR="00130162" w:rsidRPr="008F590F">
        <w:rPr>
          <w:bCs/>
          <w:color w:val="000000" w:themeColor="text1"/>
          <w:sz w:val="28"/>
          <w:szCs w:val="28"/>
          <w:lang w:val="uk-UA" w:eastAsia="ru-RU"/>
        </w:rPr>
        <w:t>Держгеонадр</w:t>
      </w:r>
      <w:proofErr w:type="spellEnd"/>
      <w:r w:rsidR="00130162" w:rsidRPr="008F590F">
        <w:rPr>
          <w:bCs/>
          <w:color w:val="000000" w:themeColor="text1"/>
          <w:sz w:val="28"/>
          <w:szCs w:val="28"/>
          <w:lang w:val="uk-UA" w:eastAsia="ru-RU"/>
        </w:rPr>
        <w:t xml:space="preserve"> за наданням роз’яснення</w:t>
      </w:r>
      <w:r w:rsidRPr="008F590F">
        <w:rPr>
          <w:bCs/>
          <w:color w:val="000000" w:themeColor="text1"/>
          <w:sz w:val="28"/>
          <w:szCs w:val="28"/>
          <w:lang w:val="uk-UA" w:eastAsia="ru-RU"/>
        </w:rPr>
        <w:t>.</w:t>
      </w:r>
    </w:p>
    <w:p w:rsidR="008F590F" w:rsidRDefault="008F590F" w:rsidP="008F590F">
      <w:pPr>
        <w:pStyle w:val="a8"/>
        <w:widowControl w:val="0"/>
        <w:numPr>
          <w:ilvl w:val="0"/>
          <w:numId w:val="18"/>
        </w:numPr>
        <w:tabs>
          <w:tab w:val="left" w:pos="990"/>
        </w:tabs>
        <w:spacing w:before="120" w:after="120"/>
        <w:jc w:val="both"/>
        <w:rPr>
          <w:bCs/>
          <w:color w:val="000000" w:themeColor="text1"/>
          <w:sz w:val="28"/>
          <w:szCs w:val="28"/>
          <w:lang w:val="uk-UA" w:eastAsia="ru-RU"/>
        </w:rPr>
      </w:pPr>
      <w:r>
        <w:rPr>
          <w:bCs/>
          <w:color w:val="000000" w:themeColor="text1"/>
          <w:sz w:val="28"/>
          <w:szCs w:val="28"/>
          <w:lang w:val="uk-UA" w:eastAsia="ru-RU"/>
        </w:rPr>
        <w:t>Кількість суб’єктів господарювання, які подали форми звітності 7-ГР «Підземні води».</w:t>
      </w:r>
    </w:p>
    <w:p w:rsidR="00C61447" w:rsidRPr="008F590F" w:rsidRDefault="00AF1D40" w:rsidP="008F590F">
      <w:pPr>
        <w:pStyle w:val="a8"/>
        <w:widowControl w:val="0"/>
        <w:numPr>
          <w:ilvl w:val="0"/>
          <w:numId w:val="18"/>
        </w:numPr>
        <w:tabs>
          <w:tab w:val="left" w:pos="990"/>
        </w:tabs>
        <w:spacing w:before="120" w:after="120"/>
        <w:jc w:val="both"/>
        <w:rPr>
          <w:bCs/>
          <w:color w:val="000000" w:themeColor="text1"/>
          <w:sz w:val="28"/>
          <w:szCs w:val="28"/>
          <w:lang w:val="uk-UA" w:eastAsia="ru-RU"/>
        </w:rPr>
      </w:pPr>
      <w:bookmarkStart w:id="18" w:name="_GoBack"/>
      <w:bookmarkEnd w:id="18"/>
      <w:r w:rsidRPr="008F590F">
        <w:rPr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C61447" w:rsidRPr="008F590F">
        <w:rPr>
          <w:bCs/>
          <w:color w:val="000000" w:themeColor="text1"/>
          <w:sz w:val="28"/>
          <w:szCs w:val="28"/>
          <w:lang w:val="uk-UA" w:eastAsia="ru-RU"/>
        </w:rPr>
        <w:t xml:space="preserve"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</w:t>
      </w:r>
      <w:r w:rsidR="00130162" w:rsidRPr="008F590F">
        <w:rPr>
          <w:bCs/>
          <w:color w:val="000000" w:themeColor="text1"/>
          <w:sz w:val="28"/>
          <w:szCs w:val="28"/>
          <w:lang w:val="uk-UA" w:eastAsia="ru-RU"/>
        </w:rPr>
        <w:t xml:space="preserve">не </w:t>
      </w:r>
      <w:r w:rsidR="00C61447" w:rsidRPr="008F590F">
        <w:rPr>
          <w:bCs/>
          <w:color w:val="000000" w:themeColor="text1"/>
          <w:sz w:val="28"/>
          <w:szCs w:val="28"/>
          <w:lang w:val="uk-UA" w:eastAsia="ru-RU"/>
        </w:rPr>
        <w:t xml:space="preserve">виконанням </w:t>
      </w:r>
      <w:r w:rsidR="00BE210A" w:rsidRPr="008F590F">
        <w:rPr>
          <w:bCs/>
          <w:color w:val="000000" w:themeColor="text1"/>
          <w:sz w:val="28"/>
          <w:szCs w:val="28"/>
          <w:lang w:val="uk-UA" w:eastAsia="ru-RU"/>
        </w:rPr>
        <w:t>вимог</w:t>
      </w:r>
      <w:r w:rsidR="00C61447" w:rsidRPr="008F590F">
        <w:rPr>
          <w:bCs/>
          <w:color w:val="000000" w:themeColor="text1"/>
          <w:sz w:val="28"/>
          <w:szCs w:val="28"/>
          <w:lang w:val="uk-UA" w:eastAsia="ru-RU"/>
        </w:rPr>
        <w:t xml:space="preserve"> чинно</w:t>
      </w:r>
      <w:r w:rsidR="00130162" w:rsidRPr="008F590F">
        <w:rPr>
          <w:bCs/>
          <w:color w:val="000000" w:themeColor="text1"/>
          <w:sz w:val="28"/>
          <w:szCs w:val="28"/>
          <w:lang w:val="uk-UA" w:eastAsia="ru-RU"/>
        </w:rPr>
        <w:t>го</w:t>
      </w:r>
      <w:r w:rsidR="00C61447" w:rsidRPr="008F590F">
        <w:rPr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130162" w:rsidRPr="008F590F">
        <w:rPr>
          <w:bCs/>
          <w:color w:val="000000" w:themeColor="text1"/>
          <w:sz w:val="28"/>
          <w:szCs w:val="28"/>
          <w:lang w:val="uk-UA" w:eastAsia="ru-RU"/>
        </w:rPr>
        <w:t>наказу.</w:t>
      </w:r>
    </w:p>
    <w:p w:rsidR="002B2B1E" w:rsidRPr="006130A7" w:rsidRDefault="002B2B1E" w:rsidP="002B2B1E">
      <w:pPr>
        <w:pStyle w:val="a8"/>
        <w:widowControl w:val="0"/>
        <w:tabs>
          <w:tab w:val="left" w:pos="284"/>
          <w:tab w:val="left" w:pos="993"/>
        </w:tabs>
        <w:ind w:left="709"/>
        <w:jc w:val="both"/>
        <w:rPr>
          <w:rFonts w:eastAsia="Times New Roman"/>
          <w:bCs/>
          <w:color w:val="000000" w:themeColor="text1"/>
          <w:sz w:val="28"/>
          <w:szCs w:val="28"/>
          <w:lang w:val="uk-UA" w:eastAsia="ru-RU"/>
        </w:rPr>
      </w:pPr>
    </w:p>
    <w:p w:rsidR="00E24DF2" w:rsidRPr="006130A7" w:rsidRDefault="00E24DF2" w:rsidP="00052BB9">
      <w:pPr>
        <w:widowControl w:val="0"/>
        <w:spacing w:after="120"/>
        <w:ind w:firstLine="709"/>
        <w:jc w:val="both"/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акта</w:t>
      </w:r>
      <w:proofErr w:type="spellEnd"/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30A7">
        <w:rPr>
          <w:color w:val="000000" w:themeColor="text1"/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6130A7">
        <w:rPr>
          <w:color w:val="000000" w:themeColor="text1"/>
          <w:sz w:val="28"/>
          <w:szCs w:val="28"/>
          <w:lang w:val="uk-UA"/>
        </w:rPr>
        <w:t xml:space="preserve"> здійснюватиметь</w:t>
      </w:r>
      <w:r w:rsidR="00DA1178" w:rsidRPr="006130A7">
        <w:rPr>
          <w:color w:val="000000" w:themeColor="text1"/>
          <w:sz w:val="28"/>
          <w:szCs w:val="28"/>
          <w:lang w:val="uk-UA"/>
        </w:rPr>
        <w:t>ся шляхом проведення базового,</w:t>
      </w:r>
      <w:r w:rsidRPr="006130A7">
        <w:rPr>
          <w:color w:val="000000" w:themeColor="text1"/>
          <w:sz w:val="28"/>
          <w:szCs w:val="28"/>
          <w:lang w:val="uk-UA"/>
        </w:rPr>
        <w:t xml:space="preserve"> повторного та періодичного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відстежень</w:t>
      </w:r>
      <w:proofErr w:type="spellEnd"/>
      <w:r w:rsidRPr="006130A7">
        <w:rPr>
          <w:color w:val="000000" w:themeColor="text1"/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6130A7">
        <w:rPr>
          <w:color w:val="000000" w:themeColor="text1"/>
          <w:sz w:val="28"/>
          <w:szCs w:val="28"/>
          <w:lang w:val="uk-UA"/>
        </w:rPr>
        <w:t xml:space="preserve">, визначених під час проведення </w:t>
      </w:r>
      <w:r w:rsidRPr="006130A7">
        <w:rPr>
          <w:color w:val="000000" w:themeColor="text1"/>
          <w:sz w:val="28"/>
          <w:szCs w:val="28"/>
          <w:lang w:val="uk-UA"/>
        </w:rPr>
        <w:lastRenderedPageBreak/>
        <w:t xml:space="preserve">аналізу впливу регуляторного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6130A7">
        <w:rPr>
          <w:color w:val="000000" w:themeColor="text1"/>
          <w:sz w:val="28"/>
          <w:szCs w:val="28"/>
          <w:lang w:val="uk-UA"/>
        </w:rPr>
        <w:t xml:space="preserve">. 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30A7">
        <w:rPr>
          <w:color w:val="000000" w:themeColor="text1"/>
          <w:sz w:val="28"/>
          <w:szCs w:val="28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6130A7">
        <w:rPr>
          <w:color w:val="000000" w:themeColor="text1"/>
          <w:sz w:val="28"/>
          <w:szCs w:val="28"/>
          <w:lang w:val="uk-UA"/>
        </w:rPr>
        <w:t xml:space="preserve"> здійснюватиметься </w:t>
      </w:r>
      <w:r w:rsidR="00FE0E7C" w:rsidRPr="006130A7">
        <w:rPr>
          <w:color w:val="000000" w:themeColor="text1"/>
          <w:sz w:val="28"/>
          <w:szCs w:val="28"/>
          <w:lang w:val="uk-UA"/>
        </w:rPr>
        <w:t>після набрання ним чинності</w:t>
      </w:r>
      <w:r w:rsidRPr="006130A7">
        <w:rPr>
          <w:color w:val="000000" w:themeColor="text1"/>
          <w:sz w:val="28"/>
          <w:szCs w:val="28"/>
          <w:lang w:val="uk-UA"/>
        </w:rPr>
        <w:t>, оскільки для цього використовуватимуться</w:t>
      </w:r>
      <w:r w:rsidR="00F44DDF" w:rsidRPr="006130A7">
        <w:rPr>
          <w:color w:val="000000" w:themeColor="text1"/>
          <w:sz w:val="28"/>
          <w:szCs w:val="28"/>
          <w:lang w:val="uk-UA"/>
        </w:rPr>
        <w:t xml:space="preserve"> виключно статистичні показники,</w:t>
      </w:r>
      <w:r w:rsidR="00F44DDF" w:rsidRPr="006130A7">
        <w:rPr>
          <w:sz w:val="28"/>
          <w:szCs w:val="28"/>
        </w:rPr>
        <w:t xml:space="preserve"> </w:t>
      </w:r>
      <w:r w:rsidR="00F44DDF" w:rsidRPr="006130A7">
        <w:rPr>
          <w:color w:val="000000" w:themeColor="text1"/>
          <w:sz w:val="28"/>
          <w:szCs w:val="28"/>
          <w:lang w:val="uk-UA"/>
        </w:rPr>
        <w:t>але не пізніше дня, з якого починається проведення повторного відстежен</w:t>
      </w:r>
      <w:r w:rsidR="00294FD8" w:rsidRPr="006130A7">
        <w:rPr>
          <w:color w:val="000000" w:themeColor="text1"/>
          <w:sz w:val="28"/>
          <w:szCs w:val="28"/>
          <w:lang w:val="uk-UA"/>
        </w:rPr>
        <w:t xml:space="preserve">ня результативності цього </w:t>
      </w:r>
      <w:proofErr w:type="spellStart"/>
      <w:r w:rsidR="00294FD8"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="00294FD8" w:rsidRPr="006130A7">
        <w:rPr>
          <w:color w:val="000000" w:themeColor="text1"/>
          <w:sz w:val="28"/>
          <w:szCs w:val="28"/>
          <w:lang w:val="uk-UA"/>
        </w:rPr>
        <w:t>.</w:t>
      </w:r>
    </w:p>
    <w:p w:rsidR="00F44DDF" w:rsidRPr="006130A7" w:rsidRDefault="00F44DDF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30A7">
        <w:rPr>
          <w:color w:val="000000" w:themeColor="text1"/>
          <w:sz w:val="28"/>
          <w:szCs w:val="28"/>
          <w:lang w:val="uk-UA"/>
        </w:rPr>
        <w:t xml:space="preserve">Повторне відстеження результативності цього регуляторного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6130A7">
        <w:rPr>
          <w:color w:val="000000" w:themeColor="text1"/>
          <w:sz w:val="28"/>
          <w:szCs w:val="28"/>
          <w:lang w:val="uk-UA"/>
        </w:rPr>
        <w:t xml:space="preserve"> здійснюватиметься через рік з дня набрання чинності цим регуляторним актом, але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:rsidR="00F44DDF" w:rsidRPr="006130A7" w:rsidRDefault="00F44DDF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30A7">
        <w:rPr>
          <w:color w:val="000000" w:themeColor="text1"/>
          <w:sz w:val="28"/>
          <w:szCs w:val="28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6130A7">
        <w:rPr>
          <w:color w:val="000000" w:themeColor="text1"/>
          <w:sz w:val="28"/>
          <w:szCs w:val="28"/>
          <w:lang w:val="uk-UA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="00294FD8" w:rsidRPr="006130A7">
        <w:rPr>
          <w:color w:val="000000" w:themeColor="text1"/>
          <w:sz w:val="28"/>
          <w:szCs w:val="28"/>
          <w:lang w:val="uk-UA"/>
        </w:rPr>
        <w:t>.</w:t>
      </w:r>
    </w:p>
    <w:p w:rsidR="00E24DF2" w:rsidRPr="006130A7" w:rsidRDefault="00E24DF2" w:rsidP="00F44DDF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30A7">
        <w:rPr>
          <w:color w:val="000000" w:themeColor="text1"/>
          <w:sz w:val="28"/>
          <w:szCs w:val="28"/>
          <w:lang w:val="uk-UA"/>
        </w:rPr>
        <w:t>У разі надходження пропозицій та зауважень щодо вирішення неврегульованих або про</w:t>
      </w:r>
      <w:r w:rsidR="00D93249" w:rsidRPr="006130A7">
        <w:rPr>
          <w:color w:val="000000" w:themeColor="text1"/>
          <w:sz w:val="28"/>
          <w:szCs w:val="28"/>
          <w:lang w:val="uk-UA"/>
        </w:rPr>
        <w:t>блемних питань буде розглядатися</w:t>
      </w:r>
      <w:r w:rsidRPr="006130A7">
        <w:rPr>
          <w:color w:val="000000" w:themeColor="text1"/>
          <w:sz w:val="28"/>
          <w:szCs w:val="28"/>
          <w:lang w:val="uk-UA"/>
        </w:rPr>
        <w:t xml:space="preserve"> необхідність внесення відповідних змін.</w:t>
      </w:r>
    </w:p>
    <w:p w:rsidR="00E24DF2" w:rsidRPr="006130A7" w:rsidRDefault="00E24DF2" w:rsidP="00E24DF2">
      <w:pPr>
        <w:widowControl w:val="0"/>
        <w:tabs>
          <w:tab w:val="left" w:pos="99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30A7">
        <w:rPr>
          <w:color w:val="000000" w:themeColor="text1"/>
          <w:sz w:val="28"/>
          <w:szCs w:val="28"/>
          <w:lang w:val="uk-UA"/>
        </w:rPr>
        <w:t>Відстеження результативності регу</w:t>
      </w:r>
      <w:r w:rsidR="00F44DDF" w:rsidRPr="006130A7">
        <w:rPr>
          <w:color w:val="000000" w:themeColor="text1"/>
          <w:sz w:val="28"/>
          <w:szCs w:val="28"/>
          <w:lang w:val="uk-UA"/>
        </w:rPr>
        <w:t xml:space="preserve">ляторного </w:t>
      </w:r>
      <w:proofErr w:type="spellStart"/>
      <w:r w:rsidR="00F44DDF" w:rsidRPr="006130A7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="00F44DDF" w:rsidRPr="006130A7">
        <w:rPr>
          <w:color w:val="000000" w:themeColor="text1"/>
          <w:sz w:val="28"/>
          <w:szCs w:val="28"/>
          <w:lang w:val="uk-UA"/>
        </w:rPr>
        <w:t xml:space="preserve"> буде </w:t>
      </w:r>
      <w:proofErr w:type="spellStart"/>
      <w:r w:rsidR="00F44DDF" w:rsidRPr="006130A7">
        <w:rPr>
          <w:color w:val="000000" w:themeColor="text1"/>
          <w:sz w:val="28"/>
          <w:szCs w:val="28"/>
          <w:lang w:val="uk-UA"/>
        </w:rPr>
        <w:t>здійснюватись</w:t>
      </w:r>
      <w:proofErr w:type="spellEnd"/>
      <w:r w:rsidR="00F44DDF" w:rsidRPr="006130A7">
        <w:rPr>
          <w:color w:val="000000" w:themeColor="text1"/>
          <w:sz w:val="28"/>
          <w:szCs w:val="28"/>
          <w:lang w:val="uk-UA"/>
        </w:rPr>
        <w:t xml:space="preserve"> </w:t>
      </w:r>
      <w:r w:rsidRPr="006130A7">
        <w:rPr>
          <w:color w:val="000000" w:themeColor="text1"/>
          <w:sz w:val="28"/>
          <w:szCs w:val="28"/>
          <w:lang w:val="uk-UA"/>
        </w:rPr>
        <w:t xml:space="preserve">Державною службою геології та надр </w:t>
      </w:r>
      <w:proofErr w:type="spellStart"/>
      <w:r w:rsidRPr="006130A7">
        <w:rPr>
          <w:color w:val="000000" w:themeColor="text1"/>
          <w:sz w:val="28"/>
          <w:szCs w:val="28"/>
          <w:lang w:val="uk-UA"/>
        </w:rPr>
        <w:t>Ураїни</w:t>
      </w:r>
      <w:proofErr w:type="spellEnd"/>
      <w:r w:rsidRPr="006130A7">
        <w:rPr>
          <w:color w:val="000000" w:themeColor="text1"/>
          <w:sz w:val="28"/>
          <w:szCs w:val="28"/>
          <w:lang w:val="uk-UA"/>
        </w:rPr>
        <w:t xml:space="preserve"> </w:t>
      </w:r>
      <w:r w:rsidR="00F44DDF" w:rsidRPr="006130A7">
        <w:rPr>
          <w:color w:val="000000" w:themeColor="text1"/>
          <w:sz w:val="28"/>
          <w:szCs w:val="28"/>
          <w:lang w:val="uk-UA"/>
        </w:rPr>
        <w:t>шляхом розгляду пропозицій та зауважень, які надійдуть до нього.</w:t>
      </w:r>
    </w:p>
    <w:p w:rsidR="00135531" w:rsidRPr="006130A7" w:rsidRDefault="00135531" w:rsidP="00E24DF2">
      <w:pPr>
        <w:widowControl w:val="0"/>
        <w:tabs>
          <w:tab w:val="left" w:pos="990"/>
        </w:tabs>
        <w:ind w:left="270"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E24DF2" w:rsidRPr="006130A7" w:rsidRDefault="00E24DF2" w:rsidP="00E24DF2">
      <w:pPr>
        <w:widowControl w:val="0"/>
        <w:tabs>
          <w:tab w:val="left" w:pos="990"/>
        </w:tabs>
        <w:ind w:left="270"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E24DF2" w:rsidRPr="006130A7" w:rsidRDefault="00E24DF2" w:rsidP="00E24DF2">
      <w:pPr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Голова Державної служби </w:t>
      </w:r>
    </w:p>
    <w:p w:rsidR="00FA3F6D" w:rsidRPr="006130A7" w:rsidRDefault="00E24DF2" w:rsidP="00E24DF2">
      <w:pPr>
        <w:rPr>
          <w:rFonts w:eastAsia="Times New Roman"/>
          <w:b/>
          <w:color w:val="000000" w:themeColor="text1"/>
          <w:sz w:val="28"/>
          <w:szCs w:val="28"/>
          <w:lang w:val="uk-UA" w:eastAsia="ru-RU"/>
        </w:rPr>
      </w:pP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геології та надр України                                    </w:t>
      </w:r>
      <w:r w:rsidR="00E53527"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  </w:t>
      </w: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     </w:t>
      </w:r>
      <w:r w:rsidR="0025165C"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             </w:t>
      </w:r>
      <w:r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  Роман ОПІ</w:t>
      </w:r>
      <w:r w:rsidR="00E53527" w:rsidRPr="006130A7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МАХ</w:t>
      </w:r>
    </w:p>
    <w:sectPr w:rsidR="00FA3F6D" w:rsidRPr="006130A7" w:rsidSect="00B727FF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66" w:rsidRDefault="00F45166" w:rsidP="00D61ACA">
      <w:r>
        <w:separator/>
      </w:r>
    </w:p>
  </w:endnote>
  <w:endnote w:type="continuationSeparator" w:id="0">
    <w:p w:rsidR="00F45166" w:rsidRDefault="00F45166" w:rsidP="00D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66" w:rsidRDefault="00F45166" w:rsidP="00D61ACA">
      <w:r>
        <w:separator/>
      </w:r>
    </w:p>
  </w:footnote>
  <w:footnote w:type="continuationSeparator" w:id="0">
    <w:p w:rsidR="00F45166" w:rsidRDefault="00F45166" w:rsidP="00D6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6681789"/>
      <w:docPartObj>
        <w:docPartGallery w:val="Page Numbers (Top of Page)"/>
        <w:docPartUnique/>
      </w:docPartObj>
    </w:sdtPr>
    <w:sdtEndPr/>
    <w:sdtContent>
      <w:p w:rsidR="00452114" w:rsidRPr="00CD418F" w:rsidRDefault="00452114">
        <w:pPr>
          <w:pStyle w:val="a9"/>
          <w:jc w:val="center"/>
          <w:rPr>
            <w:sz w:val="28"/>
            <w:szCs w:val="28"/>
          </w:rPr>
        </w:pPr>
        <w:r w:rsidRPr="00CD418F">
          <w:rPr>
            <w:sz w:val="28"/>
            <w:szCs w:val="28"/>
          </w:rPr>
          <w:fldChar w:fldCharType="begin"/>
        </w:r>
        <w:r w:rsidRPr="00CD418F">
          <w:rPr>
            <w:sz w:val="28"/>
            <w:szCs w:val="28"/>
          </w:rPr>
          <w:instrText>PAGE   \* MERGEFORMAT</w:instrText>
        </w:r>
        <w:r w:rsidRPr="00CD418F">
          <w:rPr>
            <w:sz w:val="28"/>
            <w:szCs w:val="28"/>
          </w:rPr>
          <w:fldChar w:fldCharType="separate"/>
        </w:r>
        <w:r w:rsidR="008F590F">
          <w:rPr>
            <w:noProof/>
            <w:sz w:val="28"/>
            <w:szCs w:val="28"/>
          </w:rPr>
          <w:t>2</w:t>
        </w:r>
        <w:r w:rsidRPr="00CD418F">
          <w:rPr>
            <w:sz w:val="28"/>
            <w:szCs w:val="28"/>
          </w:rPr>
          <w:fldChar w:fldCharType="end"/>
        </w:r>
      </w:p>
    </w:sdtContent>
  </w:sdt>
  <w:p w:rsidR="00452114" w:rsidRDefault="004521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FB6"/>
    <w:multiLevelType w:val="hybridMultilevel"/>
    <w:tmpl w:val="86D8B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8CF"/>
    <w:multiLevelType w:val="hybridMultilevel"/>
    <w:tmpl w:val="9822B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44E"/>
    <w:multiLevelType w:val="hybridMultilevel"/>
    <w:tmpl w:val="C2D864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980"/>
    <w:multiLevelType w:val="hybridMultilevel"/>
    <w:tmpl w:val="0DA4AE08"/>
    <w:lvl w:ilvl="0" w:tplc="80547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3066"/>
    <w:multiLevelType w:val="hybridMultilevel"/>
    <w:tmpl w:val="54D27880"/>
    <w:lvl w:ilvl="0" w:tplc="88FA506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774B7B"/>
    <w:multiLevelType w:val="hybridMultilevel"/>
    <w:tmpl w:val="F47E20DE"/>
    <w:lvl w:ilvl="0" w:tplc="254E8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B22"/>
    <w:multiLevelType w:val="hybridMultilevel"/>
    <w:tmpl w:val="0870FE1C"/>
    <w:lvl w:ilvl="0" w:tplc="F316342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3A940421"/>
    <w:multiLevelType w:val="hybridMultilevel"/>
    <w:tmpl w:val="BD060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3344"/>
    <w:multiLevelType w:val="hybridMultilevel"/>
    <w:tmpl w:val="C250EC36"/>
    <w:lvl w:ilvl="0" w:tplc="254E80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4F0A7EAE"/>
    <w:multiLevelType w:val="hybridMultilevel"/>
    <w:tmpl w:val="802A698E"/>
    <w:lvl w:ilvl="0" w:tplc="D30AA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30665D"/>
    <w:multiLevelType w:val="hybridMultilevel"/>
    <w:tmpl w:val="F95E5826"/>
    <w:lvl w:ilvl="0" w:tplc="68DACD84">
      <w:start w:val="1"/>
      <w:numFmt w:val="decimal"/>
      <w:lvlText w:val="%1."/>
      <w:lvlJc w:val="left"/>
      <w:pPr>
        <w:ind w:left="135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2046CBB"/>
    <w:multiLevelType w:val="hybridMultilevel"/>
    <w:tmpl w:val="14B0E8C0"/>
    <w:lvl w:ilvl="0" w:tplc="68FA9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411837"/>
    <w:multiLevelType w:val="hybridMultilevel"/>
    <w:tmpl w:val="79DA0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0"/>
  </w:num>
  <w:num w:numId="5">
    <w:abstractNumId w:val="7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15"/>
  </w:num>
  <w:num w:numId="14">
    <w:abstractNumId w:val="14"/>
  </w:num>
  <w:num w:numId="15">
    <w:abstractNumId w:val="11"/>
  </w:num>
  <w:num w:numId="16">
    <w:abstractNumId w:val="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F2"/>
    <w:rsid w:val="00015372"/>
    <w:rsid w:val="00017D07"/>
    <w:rsid w:val="0003025C"/>
    <w:rsid w:val="00037753"/>
    <w:rsid w:val="000443BB"/>
    <w:rsid w:val="00052BB9"/>
    <w:rsid w:val="00053ADE"/>
    <w:rsid w:val="00054807"/>
    <w:rsid w:val="00065A10"/>
    <w:rsid w:val="00071F96"/>
    <w:rsid w:val="00084E6C"/>
    <w:rsid w:val="00087AFE"/>
    <w:rsid w:val="000A0D08"/>
    <w:rsid w:val="000B45A8"/>
    <w:rsid w:val="000B6CA1"/>
    <w:rsid w:val="000C3060"/>
    <w:rsid w:val="000D239E"/>
    <w:rsid w:val="000D25E7"/>
    <w:rsid w:val="000D715C"/>
    <w:rsid w:val="000D7AAF"/>
    <w:rsid w:val="000F6180"/>
    <w:rsid w:val="000F7E8E"/>
    <w:rsid w:val="00105795"/>
    <w:rsid w:val="00105FC6"/>
    <w:rsid w:val="00114407"/>
    <w:rsid w:val="00115019"/>
    <w:rsid w:val="00115AB3"/>
    <w:rsid w:val="00116413"/>
    <w:rsid w:val="001254B7"/>
    <w:rsid w:val="00130162"/>
    <w:rsid w:val="00130C74"/>
    <w:rsid w:val="001316EA"/>
    <w:rsid w:val="00134C9B"/>
    <w:rsid w:val="00135531"/>
    <w:rsid w:val="00143183"/>
    <w:rsid w:val="001541EF"/>
    <w:rsid w:val="0015562C"/>
    <w:rsid w:val="00157062"/>
    <w:rsid w:val="00162E41"/>
    <w:rsid w:val="00170784"/>
    <w:rsid w:val="00183293"/>
    <w:rsid w:val="001859C9"/>
    <w:rsid w:val="001914EA"/>
    <w:rsid w:val="001A6ADA"/>
    <w:rsid w:val="001A7186"/>
    <w:rsid w:val="001A7583"/>
    <w:rsid w:val="001B320C"/>
    <w:rsid w:val="001D2411"/>
    <w:rsid w:val="001E514F"/>
    <w:rsid w:val="00202329"/>
    <w:rsid w:val="002141F6"/>
    <w:rsid w:val="00214265"/>
    <w:rsid w:val="00220ACA"/>
    <w:rsid w:val="002227A5"/>
    <w:rsid w:val="00226E48"/>
    <w:rsid w:val="00231E81"/>
    <w:rsid w:val="002407BB"/>
    <w:rsid w:val="00246D69"/>
    <w:rsid w:val="0025165C"/>
    <w:rsid w:val="00282DD6"/>
    <w:rsid w:val="00282EB2"/>
    <w:rsid w:val="00286DF5"/>
    <w:rsid w:val="002870B6"/>
    <w:rsid w:val="00294FD8"/>
    <w:rsid w:val="002953F5"/>
    <w:rsid w:val="002A2121"/>
    <w:rsid w:val="002B2B1E"/>
    <w:rsid w:val="002B4AF4"/>
    <w:rsid w:val="002C14EB"/>
    <w:rsid w:val="002C65B1"/>
    <w:rsid w:val="002D3093"/>
    <w:rsid w:val="002D46E1"/>
    <w:rsid w:val="002D54C5"/>
    <w:rsid w:val="002D7A5E"/>
    <w:rsid w:val="002E745C"/>
    <w:rsid w:val="002F381F"/>
    <w:rsid w:val="002F57DD"/>
    <w:rsid w:val="002F69DC"/>
    <w:rsid w:val="002F79EF"/>
    <w:rsid w:val="00327630"/>
    <w:rsid w:val="00334588"/>
    <w:rsid w:val="00337247"/>
    <w:rsid w:val="00340EB2"/>
    <w:rsid w:val="00342876"/>
    <w:rsid w:val="00353436"/>
    <w:rsid w:val="00356CD5"/>
    <w:rsid w:val="00356CE6"/>
    <w:rsid w:val="00360B74"/>
    <w:rsid w:val="00383735"/>
    <w:rsid w:val="003A323E"/>
    <w:rsid w:val="003A6194"/>
    <w:rsid w:val="003A7DB6"/>
    <w:rsid w:val="003B2C26"/>
    <w:rsid w:val="003B5C99"/>
    <w:rsid w:val="003B60ED"/>
    <w:rsid w:val="003C3647"/>
    <w:rsid w:val="003C54BA"/>
    <w:rsid w:val="003D2C5E"/>
    <w:rsid w:val="003E1308"/>
    <w:rsid w:val="003E6FC4"/>
    <w:rsid w:val="003F488D"/>
    <w:rsid w:val="00401B23"/>
    <w:rsid w:val="00403AC3"/>
    <w:rsid w:val="00431356"/>
    <w:rsid w:val="0043576B"/>
    <w:rsid w:val="00452114"/>
    <w:rsid w:val="00463736"/>
    <w:rsid w:val="00472CAC"/>
    <w:rsid w:val="00474C3B"/>
    <w:rsid w:val="0049007B"/>
    <w:rsid w:val="0049342C"/>
    <w:rsid w:val="004934CF"/>
    <w:rsid w:val="004A449F"/>
    <w:rsid w:val="004A511E"/>
    <w:rsid w:val="004B5A4A"/>
    <w:rsid w:val="004C14F4"/>
    <w:rsid w:val="004C4609"/>
    <w:rsid w:val="004D126E"/>
    <w:rsid w:val="004F0107"/>
    <w:rsid w:val="004F5F8C"/>
    <w:rsid w:val="00506C75"/>
    <w:rsid w:val="00513BBB"/>
    <w:rsid w:val="00517D36"/>
    <w:rsid w:val="00517E01"/>
    <w:rsid w:val="00521072"/>
    <w:rsid w:val="005232C6"/>
    <w:rsid w:val="00536764"/>
    <w:rsid w:val="00545D20"/>
    <w:rsid w:val="00574A8E"/>
    <w:rsid w:val="00574B36"/>
    <w:rsid w:val="00575C69"/>
    <w:rsid w:val="005A3ECA"/>
    <w:rsid w:val="005B1568"/>
    <w:rsid w:val="005B2E78"/>
    <w:rsid w:val="005C1434"/>
    <w:rsid w:val="005C445C"/>
    <w:rsid w:val="005E55DA"/>
    <w:rsid w:val="00601807"/>
    <w:rsid w:val="006130A7"/>
    <w:rsid w:val="00615A39"/>
    <w:rsid w:val="0062582B"/>
    <w:rsid w:val="0063468B"/>
    <w:rsid w:val="00640C76"/>
    <w:rsid w:val="00643463"/>
    <w:rsid w:val="00643D3C"/>
    <w:rsid w:val="00646515"/>
    <w:rsid w:val="00650857"/>
    <w:rsid w:val="006522DE"/>
    <w:rsid w:val="006744B4"/>
    <w:rsid w:val="00675884"/>
    <w:rsid w:val="006A460E"/>
    <w:rsid w:val="006B786A"/>
    <w:rsid w:val="006D3744"/>
    <w:rsid w:val="006D45E6"/>
    <w:rsid w:val="006F0F74"/>
    <w:rsid w:val="0071397F"/>
    <w:rsid w:val="007336CD"/>
    <w:rsid w:val="00735032"/>
    <w:rsid w:val="00754FF6"/>
    <w:rsid w:val="0076009E"/>
    <w:rsid w:val="0076546B"/>
    <w:rsid w:val="00771047"/>
    <w:rsid w:val="00777CE1"/>
    <w:rsid w:val="00782EA2"/>
    <w:rsid w:val="007850A0"/>
    <w:rsid w:val="00797868"/>
    <w:rsid w:val="007A407E"/>
    <w:rsid w:val="007A67E4"/>
    <w:rsid w:val="007B3DB4"/>
    <w:rsid w:val="007B559B"/>
    <w:rsid w:val="007B61A7"/>
    <w:rsid w:val="007D1705"/>
    <w:rsid w:val="007D5F90"/>
    <w:rsid w:val="007D6432"/>
    <w:rsid w:val="007D6D40"/>
    <w:rsid w:val="007D7860"/>
    <w:rsid w:val="007D7B8D"/>
    <w:rsid w:val="007E2793"/>
    <w:rsid w:val="007E2EF5"/>
    <w:rsid w:val="007E436B"/>
    <w:rsid w:val="007E51B4"/>
    <w:rsid w:val="007F123B"/>
    <w:rsid w:val="007F335A"/>
    <w:rsid w:val="007F3C66"/>
    <w:rsid w:val="00825D05"/>
    <w:rsid w:val="0082649C"/>
    <w:rsid w:val="00842675"/>
    <w:rsid w:val="008612FF"/>
    <w:rsid w:val="00866693"/>
    <w:rsid w:val="008720D3"/>
    <w:rsid w:val="008754E8"/>
    <w:rsid w:val="008803AF"/>
    <w:rsid w:val="008915FE"/>
    <w:rsid w:val="00891964"/>
    <w:rsid w:val="008A2AC6"/>
    <w:rsid w:val="008B2471"/>
    <w:rsid w:val="008C0FDC"/>
    <w:rsid w:val="008C7567"/>
    <w:rsid w:val="008D7471"/>
    <w:rsid w:val="008F590F"/>
    <w:rsid w:val="00902460"/>
    <w:rsid w:val="009212A7"/>
    <w:rsid w:val="0092196A"/>
    <w:rsid w:val="009451B8"/>
    <w:rsid w:val="0096015D"/>
    <w:rsid w:val="0096141B"/>
    <w:rsid w:val="00961F8C"/>
    <w:rsid w:val="00962A71"/>
    <w:rsid w:val="00962CF4"/>
    <w:rsid w:val="00965959"/>
    <w:rsid w:val="009774F3"/>
    <w:rsid w:val="00980C59"/>
    <w:rsid w:val="0099204E"/>
    <w:rsid w:val="00993754"/>
    <w:rsid w:val="009B2228"/>
    <w:rsid w:val="009B53FC"/>
    <w:rsid w:val="009C11CD"/>
    <w:rsid w:val="009D21DB"/>
    <w:rsid w:val="00A13182"/>
    <w:rsid w:val="00A32C5E"/>
    <w:rsid w:val="00A45964"/>
    <w:rsid w:val="00A46B61"/>
    <w:rsid w:val="00A60034"/>
    <w:rsid w:val="00A75393"/>
    <w:rsid w:val="00A83279"/>
    <w:rsid w:val="00A863C8"/>
    <w:rsid w:val="00A867BF"/>
    <w:rsid w:val="00AE07B2"/>
    <w:rsid w:val="00AE2D68"/>
    <w:rsid w:val="00AE58D3"/>
    <w:rsid w:val="00AE7570"/>
    <w:rsid w:val="00AF10BB"/>
    <w:rsid w:val="00AF1D40"/>
    <w:rsid w:val="00AF679D"/>
    <w:rsid w:val="00B00DB5"/>
    <w:rsid w:val="00B029F3"/>
    <w:rsid w:val="00B157A2"/>
    <w:rsid w:val="00B17B1D"/>
    <w:rsid w:val="00B2010C"/>
    <w:rsid w:val="00B20475"/>
    <w:rsid w:val="00B21008"/>
    <w:rsid w:val="00B44B26"/>
    <w:rsid w:val="00B563A7"/>
    <w:rsid w:val="00B727FF"/>
    <w:rsid w:val="00B76F0B"/>
    <w:rsid w:val="00B77DF6"/>
    <w:rsid w:val="00B86B7A"/>
    <w:rsid w:val="00B915E6"/>
    <w:rsid w:val="00BB47DD"/>
    <w:rsid w:val="00BC0AD0"/>
    <w:rsid w:val="00BC1694"/>
    <w:rsid w:val="00BD7494"/>
    <w:rsid w:val="00BE189B"/>
    <w:rsid w:val="00BE210A"/>
    <w:rsid w:val="00BE6618"/>
    <w:rsid w:val="00BE7C24"/>
    <w:rsid w:val="00BF617B"/>
    <w:rsid w:val="00C055F7"/>
    <w:rsid w:val="00C15424"/>
    <w:rsid w:val="00C227F3"/>
    <w:rsid w:val="00C27EB2"/>
    <w:rsid w:val="00C31D10"/>
    <w:rsid w:val="00C53F5D"/>
    <w:rsid w:val="00C61447"/>
    <w:rsid w:val="00C76932"/>
    <w:rsid w:val="00C7723B"/>
    <w:rsid w:val="00C80FB2"/>
    <w:rsid w:val="00CA1634"/>
    <w:rsid w:val="00CA6782"/>
    <w:rsid w:val="00CB472A"/>
    <w:rsid w:val="00CD418F"/>
    <w:rsid w:val="00CD699A"/>
    <w:rsid w:val="00D00F8D"/>
    <w:rsid w:val="00D04D45"/>
    <w:rsid w:val="00D10056"/>
    <w:rsid w:val="00D11924"/>
    <w:rsid w:val="00D31B30"/>
    <w:rsid w:val="00D33707"/>
    <w:rsid w:val="00D42F43"/>
    <w:rsid w:val="00D53B70"/>
    <w:rsid w:val="00D61ACA"/>
    <w:rsid w:val="00D81FE8"/>
    <w:rsid w:val="00D836BA"/>
    <w:rsid w:val="00D851AE"/>
    <w:rsid w:val="00D87EA3"/>
    <w:rsid w:val="00D93249"/>
    <w:rsid w:val="00D961C7"/>
    <w:rsid w:val="00DA1178"/>
    <w:rsid w:val="00DB2FB5"/>
    <w:rsid w:val="00DD3E4C"/>
    <w:rsid w:val="00E01BED"/>
    <w:rsid w:val="00E0471B"/>
    <w:rsid w:val="00E10539"/>
    <w:rsid w:val="00E1147C"/>
    <w:rsid w:val="00E16A63"/>
    <w:rsid w:val="00E17959"/>
    <w:rsid w:val="00E21BB1"/>
    <w:rsid w:val="00E24DF2"/>
    <w:rsid w:val="00E276E6"/>
    <w:rsid w:val="00E33B05"/>
    <w:rsid w:val="00E450FF"/>
    <w:rsid w:val="00E47A5B"/>
    <w:rsid w:val="00E51CEB"/>
    <w:rsid w:val="00E53527"/>
    <w:rsid w:val="00E600ED"/>
    <w:rsid w:val="00E93D86"/>
    <w:rsid w:val="00EA35BA"/>
    <w:rsid w:val="00EB2C18"/>
    <w:rsid w:val="00ED1D11"/>
    <w:rsid w:val="00EE1B78"/>
    <w:rsid w:val="00EE21C3"/>
    <w:rsid w:val="00EF421B"/>
    <w:rsid w:val="00EF4C9C"/>
    <w:rsid w:val="00F074AE"/>
    <w:rsid w:val="00F1204F"/>
    <w:rsid w:val="00F12936"/>
    <w:rsid w:val="00F21CC8"/>
    <w:rsid w:val="00F230C0"/>
    <w:rsid w:val="00F353AC"/>
    <w:rsid w:val="00F44DDF"/>
    <w:rsid w:val="00F45166"/>
    <w:rsid w:val="00F45E64"/>
    <w:rsid w:val="00F47CEC"/>
    <w:rsid w:val="00F61F9A"/>
    <w:rsid w:val="00F6353B"/>
    <w:rsid w:val="00F64275"/>
    <w:rsid w:val="00F8669E"/>
    <w:rsid w:val="00F91688"/>
    <w:rsid w:val="00F92D90"/>
    <w:rsid w:val="00FA3F6D"/>
    <w:rsid w:val="00FB09A3"/>
    <w:rsid w:val="00FC545F"/>
    <w:rsid w:val="00FE0E7C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99E7"/>
  <w15:docId w15:val="{F836F3CC-FCD7-4764-BC2F-46F1623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4DF2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uiPriority w:val="10"/>
    <w:rsid w:val="00E24DF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ja-JP"/>
    </w:rPr>
  </w:style>
  <w:style w:type="character" w:customStyle="1" w:styleId="a4">
    <w:name w:val="Заголовок Знак"/>
    <w:link w:val="a3"/>
    <w:uiPriority w:val="99"/>
    <w:rsid w:val="00E24DF2"/>
    <w:rPr>
      <w:rFonts w:ascii="PetersburgTT" w:eastAsia="Calibri" w:hAnsi="PetersburgTT" w:cs="Times New Roman"/>
      <w:b/>
      <w:bCs/>
      <w:sz w:val="28"/>
      <w:szCs w:val="28"/>
      <w:lang w:eastAsia="ru-RU"/>
    </w:rPr>
  </w:style>
  <w:style w:type="paragraph" w:customStyle="1" w:styleId="1">
    <w:name w:val="Основний текст1"/>
    <w:uiPriority w:val="99"/>
    <w:rsid w:val="00E24D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uk-UA"/>
    </w:rPr>
  </w:style>
  <w:style w:type="character" w:customStyle="1" w:styleId="2">
    <w:name w:val="Основной текст (2)_"/>
    <w:link w:val="20"/>
    <w:locked/>
    <w:rsid w:val="00E24DF2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DF2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shd w:val="clear" w:color="auto" w:fill="FFFFFF"/>
      <w:lang w:val="uk-UA" w:eastAsia="en-US"/>
    </w:rPr>
  </w:style>
  <w:style w:type="paragraph" w:customStyle="1" w:styleId="rvps2">
    <w:name w:val="rvps2"/>
    <w:basedOn w:val="a"/>
    <w:rsid w:val="00E24DF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Основной текст_"/>
    <w:link w:val="3"/>
    <w:locked/>
    <w:rsid w:val="0063468B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6"/>
    <w:rsid w:val="0063468B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shd w:val="clear" w:color="auto" w:fill="FFFFFF"/>
      <w:lang w:val="uk-UA" w:eastAsia="en-US"/>
    </w:rPr>
  </w:style>
  <w:style w:type="character" w:customStyle="1" w:styleId="rvts46">
    <w:name w:val="rvts46"/>
    <w:basedOn w:val="a0"/>
    <w:rsid w:val="003A323E"/>
  </w:style>
  <w:style w:type="character" w:styleId="a7">
    <w:name w:val="Hyperlink"/>
    <w:basedOn w:val="a0"/>
    <w:uiPriority w:val="99"/>
    <w:semiHidden/>
    <w:unhideWhenUsed/>
    <w:rsid w:val="003A323E"/>
    <w:rPr>
      <w:color w:val="0000FF"/>
      <w:u w:val="single"/>
    </w:rPr>
  </w:style>
  <w:style w:type="character" w:customStyle="1" w:styleId="rvts9">
    <w:name w:val="rvts9"/>
    <w:basedOn w:val="a0"/>
    <w:rsid w:val="0099204E"/>
  </w:style>
  <w:style w:type="character" w:customStyle="1" w:styleId="10">
    <w:name w:val="Основной текст1"/>
    <w:rsid w:val="00A863C8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paragraph" w:styleId="a8">
    <w:name w:val="List Paragraph"/>
    <w:basedOn w:val="a"/>
    <w:uiPriority w:val="34"/>
    <w:qFormat/>
    <w:rsid w:val="006A46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61A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AC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b">
    <w:name w:val="footer"/>
    <w:basedOn w:val="a"/>
    <w:link w:val="ac"/>
    <w:uiPriority w:val="99"/>
    <w:unhideWhenUsed/>
    <w:rsid w:val="00D61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AC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d">
    <w:name w:val="Balloon Text"/>
    <w:basedOn w:val="a"/>
    <w:link w:val="ae"/>
    <w:uiPriority w:val="99"/>
    <w:semiHidden/>
    <w:unhideWhenUsed/>
    <w:rsid w:val="007139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397F"/>
    <w:rPr>
      <w:rFonts w:ascii="Segoe UI" w:eastAsia="MS Mincho" w:hAnsi="Segoe UI" w:cs="Segoe UI"/>
      <w:sz w:val="18"/>
      <w:szCs w:val="18"/>
      <w:lang w:val="ru-RU" w:eastAsia="ja-JP"/>
    </w:rPr>
  </w:style>
  <w:style w:type="paragraph" w:styleId="HTML">
    <w:name w:val="HTML Preformatted"/>
    <w:basedOn w:val="a"/>
    <w:link w:val="HTML0"/>
    <w:uiPriority w:val="99"/>
    <w:rsid w:val="00C1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5424"/>
    <w:rPr>
      <w:rFonts w:ascii="Courier New" w:eastAsia="Times New Roman" w:hAnsi="Courier New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3E65-9F68-4144-924A-A225293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3236</Words>
  <Characters>18451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Martynenko</dc:creator>
  <cp:keywords/>
  <dc:description/>
  <cp:lastModifiedBy>Наталія Вікторівна Зарітовська</cp:lastModifiedBy>
  <cp:revision>3</cp:revision>
  <cp:lastPrinted>2022-07-22T15:12:00Z</cp:lastPrinted>
  <dcterms:created xsi:type="dcterms:W3CDTF">2022-08-12T09:32:00Z</dcterms:created>
  <dcterms:modified xsi:type="dcterms:W3CDTF">2022-08-12T09:44:00Z</dcterms:modified>
</cp:coreProperties>
</file>