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9DB87" w14:textId="6E137D6B" w:rsidR="002D7240" w:rsidRPr="005572B1" w:rsidRDefault="002D7240" w:rsidP="002D7240">
      <w:pPr>
        <w:ind w:left="8505"/>
        <w:jc w:val="center"/>
        <w:rPr>
          <w:rFonts w:ascii="Times New Roman" w:hAnsi="Times New Roman"/>
          <w:sz w:val="24"/>
          <w:szCs w:val="24"/>
        </w:rPr>
      </w:pPr>
      <w:r w:rsidRPr="005572B1">
        <w:rPr>
          <w:rFonts w:ascii="Times New Roman" w:hAnsi="Times New Roman"/>
          <w:sz w:val="24"/>
          <w:szCs w:val="24"/>
        </w:rPr>
        <w:t>ЗАТВЕРДЖЕНО</w:t>
      </w:r>
      <w:r w:rsidRPr="005572B1">
        <w:rPr>
          <w:rFonts w:ascii="Times New Roman" w:hAnsi="Times New Roman"/>
          <w:sz w:val="24"/>
          <w:szCs w:val="24"/>
        </w:rPr>
        <w:br/>
      </w:r>
      <w:r w:rsidR="00E1021D">
        <w:rPr>
          <w:rFonts w:ascii="Times New Roman" w:hAnsi="Times New Roman"/>
          <w:sz w:val="24"/>
          <w:szCs w:val="24"/>
        </w:rPr>
        <w:t>н</w:t>
      </w:r>
      <w:r w:rsidRPr="005572B1">
        <w:rPr>
          <w:rFonts w:ascii="Times New Roman" w:hAnsi="Times New Roman"/>
          <w:sz w:val="24"/>
          <w:szCs w:val="24"/>
        </w:rPr>
        <w:t xml:space="preserve">аказ Держгеонадр від </w:t>
      </w:r>
      <w:r w:rsidR="00E1021D">
        <w:rPr>
          <w:rFonts w:ascii="Times New Roman" w:hAnsi="Times New Roman"/>
          <w:sz w:val="24"/>
          <w:szCs w:val="24"/>
        </w:rPr>
        <w:t>23</w:t>
      </w:r>
      <w:r w:rsidRPr="005572B1">
        <w:rPr>
          <w:rFonts w:ascii="Times New Roman" w:hAnsi="Times New Roman"/>
          <w:sz w:val="24"/>
          <w:szCs w:val="24"/>
        </w:rPr>
        <w:t>.03.2023 №</w:t>
      </w:r>
      <w:r w:rsidR="00E1021D">
        <w:rPr>
          <w:rFonts w:ascii="Times New Roman" w:hAnsi="Times New Roman"/>
          <w:sz w:val="24"/>
          <w:szCs w:val="24"/>
        </w:rPr>
        <w:t xml:space="preserve"> 163</w:t>
      </w:r>
    </w:p>
    <w:p w14:paraId="0CA7B545" w14:textId="77777777" w:rsidR="002D7240" w:rsidRDefault="002D7240" w:rsidP="002D7240">
      <w:pPr>
        <w:rPr>
          <w:rFonts w:ascii="Times New Roman" w:hAnsi="Times New Roman"/>
          <w:szCs w:val="26"/>
        </w:rPr>
      </w:pPr>
    </w:p>
    <w:p w14:paraId="18E1C8D9" w14:textId="77777777" w:rsidR="002D7240" w:rsidRDefault="002D7240" w:rsidP="002D7240">
      <w:pPr>
        <w:jc w:val="center"/>
        <w:rPr>
          <w:rFonts w:ascii="Times New Roman" w:hAnsi="Times New Roman"/>
          <w:szCs w:val="26"/>
        </w:rPr>
      </w:pPr>
      <w:bookmarkStart w:id="0" w:name="_GoBack"/>
      <w:bookmarkEnd w:id="0"/>
    </w:p>
    <w:p w14:paraId="6672BAD4" w14:textId="77777777" w:rsidR="00A93A75" w:rsidRDefault="00A93A75" w:rsidP="002D7240">
      <w:pPr>
        <w:jc w:val="center"/>
        <w:rPr>
          <w:rFonts w:ascii="Times New Roman" w:hAnsi="Times New Roman"/>
          <w:b/>
          <w:bCs/>
          <w:szCs w:val="26"/>
        </w:rPr>
      </w:pPr>
      <w:r w:rsidRPr="00A93A75">
        <w:rPr>
          <w:rFonts w:ascii="Times New Roman" w:hAnsi="Times New Roman"/>
          <w:b/>
          <w:bCs/>
          <w:szCs w:val="26"/>
        </w:rPr>
        <w:t xml:space="preserve">План заходів Державної служби геології та надр України з виконання плану пріоритетних дій Уряду на 2023 рік </w:t>
      </w:r>
    </w:p>
    <w:p w14:paraId="243117F3" w14:textId="77777777" w:rsidR="002D7240" w:rsidRDefault="002D7240" w:rsidP="002D7240"/>
    <w:tbl>
      <w:tblPr>
        <w:tblW w:w="15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220" w:firstRow="1" w:lastRow="0" w:firstColumn="0" w:lastColumn="0" w:noHBand="1" w:noVBand="0"/>
      </w:tblPr>
      <w:tblGrid>
        <w:gridCol w:w="7508"/>
        <w:gridCol w:w="3391"/>
        <w:gridCol w:w="2126"/>
        <w:gridCol w:w="1990"/>
      </w:tblGrid>
      <w:tr w:rsidR="002D7240" w14:paraId="0C917394" w14:textId="77777777" w:rsidTr="002D7240">
        <w:trPr>
          <w:trHeight w:val="20"/>
          <w:jc w:val="center"/>
        </w:trPr>
        <w:tc>
          <w:tcPr>
            <w:tcW w:w="7508" w:type="dxa"/>
            <w:vAlign w:val="center"/>
          </w:tcPr>
          <w:p w14:paraId="0A708605" w14:textId="77777777" w:rsidR="002D7240" w:rsidRPr="0016632C" w:rsidRDefault="002D7240" w:rsidP="002D7240">
            <w:pPr>
              <w:tabs>
                <w:tab w:val="left" w:pos="0"/>
              </w:tabs>
              <w:contextualSpacing/>
              <w:jc w:val="center"/>
              <w:rPr>
                <w:rFonts w:ascii="Times New Roman" w:hAnsi="Times New Roman"/>
                <w:szCs w:val="26"/>
              </w:rPr>
            </w:pPr>
            <w:r>
              <w:rPr>
                <w:rFonts w:ascii="Times New Roman" w:hAnsi="Times New Roman"/>
                <w:szCs w:val="26"/>
              </w:rPr>
              <w:t>Заходи/Кроки з Плану</w:t>
            </w:r>
          </w:p>
        </w:tc>
        <w:tc>
          <w:tcPr>
            <w:tcW w:w="3391" w:type="dxa"/>
            <w:vAlign w:val="center"/>
          </w:tcPr>
          <w:p w14:paraId="19D21EE6" w14:textId="77777777" w:rsidR="002D7240" w:rsidRDefault="002D7240" w:rsidP="002D7240">
            <w:pPr>
              <w:jc w:val="center"/>
              <w:rPr>
                <w:rFonts w:ascii="Times New Roman" w:hAnsi="Times New Roman"/>
                <w:szCs w:val="26"/>
              </w:rPr>
            </w:pPr>
            <w:r>
              <w:rPr>
                <w:rFonts w:ascii="Times New Roman" w:hAnsi="Times New Roman"/>
                <w:szCs w:val="26"/>
              </w:rPr>
              <w:t>Відповідальні за виконання</w:t>
            </w:r>
          </w:p>
        </w:tc>
        <w:tc>
          <w:tcPr>
            <w:tcW w:w="2126" w:type="dxa"/>
            <w:vAlign w:val="center"/>
          </w:tcPr>
          <w:p w14:paraId="2CF8100F" w14:textId="77777777" w:rsidR="002D7240" w:rsidRDefault="002D7240" w:rsidP="002D7240">
            <w:pPr>
              <w:jc w:val="center"/>
              <w:rPr>
                <w:rFonts w:ascii="Times New Roman" w:hAnsi="Times New Roman"/>
                <w:szCs w:val="26"/>
              </w:rPr>
            </w:pPr>
            <w:r>
              <w:rPr>
                <w:rFonts w:ascii="Times New Roman" w:hAnsi="Times New Roman"/>
                <w:szCs w:val="26"/>
              </w:rPr>
              <w:t>Строк</w:t>
            </w:r>
          </w:p>
        </w:tc>
        <w:tc>
          <w:tcPr>
            <w:tcW w:w="1990" w:type="dxa"/>
            <w:vAlign w:val="center"/>
          </w:tcPr>
          <w:p w14:paraId="438CD342" w14:textId="77777777" w:rsidR="002D7240" w:rsidRDefault="002D7240" w:rsidP="002D7240">
            <w:pPr>
              <w:jc w:val="center"/>
              <w:rPr>
                <w:rFonts w:ascii="Times New Roman" w:hAnsi="Times New Roman"/>
                <w:szCs w:val="26"/>
              </w:rPr>
            </w:pPr>
            <w:r>
              <w:rPr>
                <w:rFonts w:ascii="Times New Roman" w:hAnsi="Times New Roman"/>
                <w:szCs w:val="26"/>
              </w:rPr>
              <w:t>Індикатор</w:t>
            </w:r>
          </w:p>
        </w:tc>
      </w:tr>
      <w:tr w:rsidR="002D7240" w14:paraId="2B7C8F16" w14:textId="77777777" w:rsidTr="002D7240">
        <w:trPr>
          <w:trHeight w:val="20"/>
          <w:jc w:val="center"/>
        </w:trPr>
        <w:tc>
          <w:tcPr>
            <w:tcW w:w="7508" w:type="dxa"/>
          </w:tcPr>
          <w:p w14:paraId="430BBE1F" w14:textId="7C6070F0" w:rsidR="002D7240" w:rsidRDefault="002D7240" w:rsidP="002D7240">
            <w:pPr>
              <w:tabs>
                <w:tab w:val="left" w:pos="0"/>
              </w:tabs>
              <w:contextualSpacing/>
              <w:rPr>
                <w:rFonts w:ascii="Times New Roman" w:hAnsi="Times New Roman"/>
                <w:szCs w:val="26"/>
              </w:rPr>
            </w:pPr>
            <w:r w:rsidRPr="0016632C">
              <w:rPr>
                <w:rFonts w:ascii="Times New Roman" w:hAnsi="Times New Roman"/>
                <w:szCs w:val="26"/>
              </w:rPr>
              <w:t>183</w:t>
            </w:r>
            <w:r>
              <w:rPr>
                <w:rFonts w:ascii="Times New Roman" w:hAnsi="Times New Roman"/>
                <w:szCs w:val="26"/>
              </w:rPr>
              <w:t>. Впровадження обов’язкового продажу окремих видів сировини добувними компаніями виключно на організованих товарних ринках (біржах) в Україні</w:t>
            </w:r>
            <w:r w:rsidR="00EA7B3D">
              <w:rPr>
                <w:rFonts w:ascii="Times New Roman" w:hAnsi="Times New Roman"/>
                <w:szCs w:val="26"/>
              </w:rPr>
              <w:t xml:space="preserve"> - Мінекономіки</w:t>
            </w:r>
          </w:p>
        </w:tc>
        <w:tc>
          <w:tcPr>
            <w:tcW w:w="3391" w:type="dxa"/>
            <w:vAlign w:val="center"/>
          </w:tcPr>
          <w:p w14:paraId="19C433A1" w14:textId="68FFE7A6" w:rsidR="002D7240" w:rsidRDefault="00EA7B3D" w:rsidP="002D7240">
            <w:pPr>
              <w:ind w:right="-8"/>
              <w:jc w:val="center"/>
              <w:rPr>
                <w:rFonts w:ascii="Times New Roman" w:hAnsi="Times New Roman"/>
                <w:szCs w:val="26"/>
              </w:rPr>
            </w:pPr>
            <w:r>
              <w:rPr>
                <w:rFonts w:ascii="Times New Roman" w:hAnsi="Times New Roman"/>
                <w:szCs w:val="26"/>
              </w:rPr>
              <w:t>До уваги</w:t>
            </w:r>
          </w:p>
        </w:tc>
        <w:tc>
          <w:tcPr>
            <w:tcW w:w="2126" w:type="dxa"/>
            <w:vAlign w:val="center"/>
          </w:tcPr>
          <w:p w14:paraId="16FD7006" w14:textId="055C92B5" w:rsidR="002D7240" w:rsidRDefault="00EA7B3D" w:rsidP="002D7240">
            <w:pPr>
              <w:jc w:val="center"/>
              <w:rPr>
                <w:rFonts w:ascii="Times New Roman" w:hAnsi="Times New Roman"/>
                <w:szCs w:val="26"/>
              </w:rPr>
            </w:pPr>
            <w:r>
              <w:rPr>
                <w:rFonts w:ascii="Times New Roman" w:hAnsi="Times New Roman"/>
                <w:szCs w:val="26"/>
              </w:rPr>
              <w:t>-</w:t>
            </w:r>
          </w:p>
        </w:tc>
        <w:tc>
          <w:tcPr>
            <w:tcW w:w="1990" w:type="dxa"/>
            <w:vAlign w:val="center"/>
          </w:tcPr>
          <w:p w14:paraId="13BF4311" w14:textId="4B74E0D3" w:rsidR="002D7240" w:rsidRDefault="00EA7B3D" w:rsidP="002D7240">
            <w:pPr>
              <w:jc w:val="center"/>
              <w:rPr>
                <w:rFonts w:ascii="Times New Roman" w:hAnsi="Times New Roman"/>
                <w:szCs w:val="26"/>
              </w:rPr>
            </w:pPr>
            <w:r>
              <w:rPr>
                <w:rFonts w:ascii="Times New Roman" w:hAnsi="Times New Roman"/>
                <w:szCs w:val="26"/>
              </w:rPr>
              <w:t>-</w:t>
            </w:r>
          </w:p>
        </w:tc>
      </w:tr>
      <w:tr w:rsidR="002D7240" w14:paraId="52F9B8BE" w14:textId="77777777" w:rsidTr="002D7240">
        <w:trPr>
          <w:trHeight w:val="20"/>
          <w:jc w:val="center"/>
        </w:trPr>
        <w:tc>
          <w:tcPr>
            <w:tcW w:w="7508" w:type="dxa"/>
          </w:tcPr>
          <w:p w14:paraId="648A0366" w14:textId="77777777" w:rsidR="002D7240" w:rsidRDefault="002D7240" w:rsidP="002D7240">
            <w:pPr>
              <w:tabs>
                <w:tab w:val="left" w:pos="0"/>
              </w:tabs>
              <w:contextualSpacing/>
              <w:rPr>
                <w:rFonts w:ascii="Times New Roman" w:hAnsi="Times New Roman"/>
                <w:szCs w:val="26"/>
              </w:rPr>
            </w:pPr>
            <w:r>
              <w:rPr>
                <w:rFonts w:ascii="Times New Roman" w:hAnsi="Times New Roman"/>
                <w:szCs w:val="26"/>
              </w:rPr>
              <w:t>214. Розроблення та подання Кабінетові Міністрів України проекту постанови Кабінету Міністрів України про затвердження переліку ділянок надр (родовищ корисних копалин), які мають стратегічне значення для сталого розвитку економіки та обороноздатності держави, що надаватимуться у користування шляхом проведення аукціонів з продажу спеціальних дозволів на користування надрами</w:t>
            </w:r>
          </w:p>
        </w:tc>
        <w:tc>
          <w:tcPr>
            <w:tcW w:w="3391" w:type="dxa"/>
            <w:vAlign w:val="center"/>
          </w:tcPr>
          <w:p w14:paraId="3F23A9F3" w14:textId="2ED4DFA4" w:rsidR="00EA7B3D" w:rsidRDefault="00EA7B3D" w:rsidP="002D7240">
            <w:pPr>
              <w:ind w:right="-8"/>
              <w:jc w:val="center"/>
              <w:rPr>
                <w:rFonts w:ascii="Times New Roman" w:hAnsi="Times New Roman"/>
                <w:szCs w:val="26"/>
              </w:rPr>
            </w:pPr>
            <w:proofErr w:type="spellStart"/>
            <w:r>
              <w:rPr>
                <w:rFonts w:ascii="Times New Roman" w:hAnsi="Times New Roman"/>
                <w:szCs w:val="26"/>
              </w:rPr>
              <w:t>Бучко</w:t>
            </w:r>
            <w:proofErr w:type="spellEnd"/>
            <w:r>
              <w:rPr>
                <w:rFonts w:ascii="Times New Roman" w:hAnsi="Times New Roman"/>
                <w:szCs w:val="26"/>
              </w:rPr>
              <w:t xml:space="preserve"> В.А.</w:t>
            </w:r>
          </w:p>
          <w:p w14:paraId="1DB15A0A" w14:textId="5DE1EBE5" w:rsidR="002D7240" w:rsidRPr="002D7240" w:rsidRDefault="002D7240" w:rsidP="002D7240">
            <w:pPr>
              <w:ind w:right="-8"/>
              <w:jc w:val="center"/>
              <w:rPr>
                <w:rFonts w:ascii="Times New Roman" w:hAnsi="Times New Roman"/>
                <w:szCs w:val="26"/>
              </w:rPr>
            </w:pPr>
            <w:r w:rsidRPr="002D7240">
              <w:rPr>
                <w:rFonts w:ascii="Times New Roman" w:hAnsi="Times New Roman"/>
                <w:szCs w:val="26"/>
              </w:rPr>
              <w:t>Стрижак В.П.</w:t>
            </w:r>
          </w:p>
          <w:p w14:paraId="749385C4" w14:textId="77777777" w:rsidR="002D7240" w:rsidRDefault="002D7240" w:rsidP="002D7240">
            <w:pPr>
              <w:ind w:right="-8"/>
              <w:jc w:val="center"/>
              <w:rPr>
                <w:rFonts w:ascii="Times New Roman" w:hAnsi="Times New Roman"/>
                <w:szCs w:val="26"/>
              </w:rPr>
            </w:pPr>
            <w:r w:rsidRPr="002D7240">
              <w:rPr>
                <w:rFonts w:ascii="Times New Roman" w:hAnsi="Times New Roman"/>
                <w:szCs w:val="26"/>
              </w:rPr>
              <w:t>Губа С.М.</w:t>
            </w:r>
          </w:p>
        </w:tc>
        <w:tc>
          <w:tcPr>
            <w:tcW w:w="2126" w:type="dxa"/>
            <w:vAlign w:val="center"/>
          </w:tcPr>
          <w:p w14:paraId="5A7FAC0F" w14:textId="77777777" w:rsidR="002D7240" w:rsidRDefault="002D7240" w:rsidP="002D7240">
            <w:pPr>
              <w:jc w:val="center"/>
              <w:rPr>
                <w:rFonts w:ascii="Times New Roman" w:hAnsi="Times New Roman"/>
                <w:szCs w:val="26"/>
              </w:rPr>
            </w:pPr>
            <w:r>
              <w:rPr>
                <w:rFonts w:ascii="Times New Roman" w:hAnsi="Times New Roman"/>
                <w:szCs w:val="26"/>
              </w:rPr>
              <w:t>березень</w:t>
            </w:r>
          </w:p>
        </w:tc>
        <w:tc>
          <w:tcPr>
            <w:tcW w:w="1990" w:type="dxa"/>
            <w:vAlign w:val="center"/>
          </w:tcPr>
          <w:p w14:paraId="6EF89F07" w14:textId="77777777" w:rsidR="002D7240" w:rsidRDefault="002D7240" w:rsidP="002D7240">
            <w:pPr>
              <w:jc w:val="center"/>
              <w:rPr>
                <w:rFonts w:ascii="Times New Roman" w:hAnsi="Times New Roman"/>
                <w:szCs w:val="26"/>
              </w:rPr>
            </w:pPr>
          </w:p>
        </w:tc>
      </w:tr>
      <w:tr w:rsidR="002D7240" w14:paraId="0361508E" w14:textId="77777777" w:rsidTr="002D7240">
        <w:trPr>
          <w:trHeight w:val="20"/>
          <w:jc w:val="center"/>
        </w:trPr>
        <w:tc>
          <w:tcPr>
            <w:tcW w:w="7508" w:type="dxa"/>
          </w:tcPr>
          <w:p w14:paraId="51312BC3" w14:textId="77777777" w:rsidR="002D7240" w:rsidRDefault="002D7240" w:rsidP="002D7240">
            <w:pPr>
              <w:tabs>
                <w:tab w:val="left" w:pos="0"/>
              </w:tabs>
              <w:contextualSpacing/>
              <w:rPr>
                <w:rFonts w:ascii="Times New Roman" w:hAnsi="Times New Roman"/>
                <w:szCs w:val="26"/>
              </w:rPr>
            </w:pPr>
            <w:r>
              <w:rPr>
                <w:rFonts w:ascii="Times New Roman" w:hAnsi="Times New Roman"/>
                <w:szCs w:val="26"/>
              </w:rPr>
              <w:t>215. Проведення відкритих та прозорих аукціонів з продажу спеціальних дозволів на користування надрами</w:t>
            </w:r>
          </w:p>
        </w:tc>
        <w:tc>
          <w:tcPr>
            <w:tcW w:w="3391" w:type="dxa"/>
            <w:vAlign w:val="center"/>
          </w:tcPr>
          <w:p w14:paraId="6668B067" w14:textId="77777777" w:rsidR="002D7240" w:rsidRDefault="002D7240" w:rsidP="002D7240">
            <w:pPr>
              <w:ind w:right="-8"/>
              <w:jc w:val="center"/>
              <w:rPr>
                <w:rFonts w:ascii="Times New Roman" w:hAnsi="Times New Roman"/>
                <w:szCs w:val="26"/>
              </w:rPr>
            </w:pPr>
            <w:r>
              <w:rPr>
                <w:rFonts w:ascii="Times New Roman" w:hAnsi="Times New Roman"/>
                <w:szCs w:val="26"/>
              </w:rPr>
              <w:t>Олефір В.С.</w:t>
            </w:r>
          </w:p>
        </w:tc>
        <w:tc>
          <w:tcPr>
            <w:tcW w:w="2126" w:type="dxa"/>
            <w:vAlign w:val="center"/>
          </w:tcPr>
          <w:p w14:paraId="59445415" w14:textId="06B6F406" w:rsidR="002D7240" w:rsidRDefault="00EA7B3D" w:rsidP="002D7240">
            <w:pPr>
              <w:jc w:val="center"/>
              <w:rPr>
                <w:rFonts w:ascii="Times New Roman" w:hAnsi="Times New Roman"/>
                <w:szCs w:val="26"/>
              </w:rPr>
            </w:pPr>
            <w:r>
              <w:rPr>
                <w:rFonts w:ascii="Times New Roman" w:hAnsi="Times New Roman"/>
                <w:szCs w:val="26"/>
              </w:rPr>
              <w:t>протягом року</w:t>
            </w:r>
          </w:p>
        </w:tc>
        <w:tc>
          <w:tcPr>
            <w:tcW w:w="1990" w:type="dxa"/>
            <w:vAlign w:val="center"/>
          </w:tcPr>
          <w:p w14:paraId="2D5A7C5A" w14:textId="0C6B2529" w:rsidR="002D7240" w:rsidRDefault="00EA7B3D" w:rsidP="002D7240">
            <w:pPr>
              <w:jc w:val="center"/>
              <w:rPr>
                <w:rFonts w:ascii="Times New Roman" w:hAnsi="Times New Roman"/>
                <w:szCs w:val="26"/>
              </w:rPr>
            </w:pPr>
            <w:r>
              <w:rPr>
                <w:rFonts w:ascii="Times New Roman" w:hAnsi="Times New Roman"/>
                <w:szCs w:val="26"/>
              </w:rPr>
              <w:t>виставлено на аукціони понад 80 лотів</w:t>
            </w:r>
          </w:p>
        </w:tc>
      </w:tr>
      <w:tr w:rsidR="002D7240" w14:paraId="05236C1A" w14:textId="77777777" w:rsidTr="002D7240">
        <w:trPr>
          <w:trHeight w:val="20"/>
          <w:jc w:val="center"/>
        </w:trPr>
        <w:tc>
          <w:tcPr>
            <w:tcW w:w="7508" w:type="dxa"/>
          </w:tcPr>
          <w:p w14:paraId="475C127B" w14:textId="77777777" w:rsidR="002D7240" w:rsidRDefault="002D7240" w:rsidP="002D7240">
            <w:pPr>
              <w:tabs>
                <w:tab w:val="left" w:pos="0"/>
              </w:tabs>
              <w:contextualSpacing/>
              <w:rPr>
                <w:rFonts w:ascii="Times New Roman" w:hAnsi="Times New Roman"/>
                <w:szCs w:val="26"/>
              </w:rPr>
            </w:pPr>
            <w:r>
              <w:rPr>
                <w:rFonts w:ascii="Times New Roman" w:hAnsi="Times New Roman"/>
                <w:szCs w:val="26"/>
              </w:rPr>
              <w:t>387. Розроблення та подання Кабінетові Міністрів України проекту постанови Кабінету Міністрів України про затвердження Порядку ведення єдиної державної електронної геоінформаційної системи</w:t>
            </w:r>
          </w:p>
        </w:tc>
        <w:tc>
          <w:tcPr>
            <w:tcW w:w="3391" w:type="dxa"/>
            <w:vAlign w:val="center"/>
          </w:tcPr>
          <w:p w14:paraId="553D62BB" w14:textId="214EACB1" w:rsidR="00EA7B3D" w:rsidRDefault="00EA7B3D" w:rsidP="002D7240">
            <w:pPr>
              <w:ind w:right="-8"/>
              <w:jc w:val="center"/>
              <w:rPr>
                <w:rFonts w:ascii="Times New Roman" w:hAnsi="Times New Roman"/>
                <w:szCs w:val="26"/>
              </w:rPr>
            </w:pPr>
            <w:proofErr w:type="spellStart"/>
            <w:r>
              <w:rPr>
                <w:rFonts w:ascii="Times New Roman" w:hAnsi="Times New Roman"/>
                <w:szCs w:val="26"/>
              </w:rPr>
              <w:t>Дехтяренко</w:t>
            </w:r>
            <w:proofErr w:type="spellEnd"/>
            <w:r>
              <w:rPr>
                <w:rFonts w:ascii="Times New Roman" w:hAnsi="Times New Roman"/>
                <w:szCs w:val="26"/>
              </w:rPr>
              <w:t xml:space="preserve"> С.С.</w:t>
            </w:r>
          </w:p>
          <w:p w14:paraId="323DC9AF" w14:textId="33BC2DFF" w:rsidR="002D7240" w:rsidRDefault="002D7240" w:rsidP="002D7240">
            <w:pPr>
              <w:ind w:right="-8"/>
              <w:jc w:val="center"/>
              <w:rPr>
                <w:rFonts w:ascii="Times New Roman" w:hAnsi="Times New Roman"/>
                <w:szCs w:val="26"/>
              </w:rPr>
            </w:pPr>
            <w:proofErr w:type="spellStart"/>
            <w:r w:rsidRPr="002D7240">
              <w:rPr>
                <w:rFonts w:ascii="Times New Roman" w:hAnsi="Times New Roman"/>
                <w:szCs w:val="26"/>
              </w:rPr>
              <w:t>Ківель</w:t>
            </w:r>
            <w:proofErr w:type="spellEnd"/>
            <w:r w:rsidRPr="002D7240">
              <w:rPr>
                <w:rFonts w:ascii="Times New Roman" w:hAnsi="Times New Roman"/>
                <w:szCs w:val="26"/>
              </w:rPr>
              <w:t xml:space="preserve"> Д.В.</w:t>
            </w:r>
          </w:p>
          <w:p w14:paraId="076EFF9E" w14:textId="77777777" w:rsidR="002D7240" w:rsidRPr="002D7240" w:rsidRDefault="002D7240" w:rsidP="002D7240">
            <w:pPr>
              <w:ind w:right="-8"/>
              <w:jc w:val="center"/>
              <w:rPr>
                <w:rFonts w:ascii="Times New Roman" w:hAnsi="Times New Roman"/>
                <w:szCs w:val="26"/>
              </w:rPr>
            </w:pPr>
            <w:r w:rsidRPr="002D7240">
              <w:rPr>
                <w:rFonts w:ascii="Times New Roman" w:hAnsi="Times New Roman"/>
                <w:szCs w:val="26"/>
              </w:rPr>
              <w:t>Губа С.М.</w:t>
            </w:r>
          </w:p>
          <w:p w14:paraId="4850F6FD" w14:textId="331DE299" w:rsidR="002D7240" w:rsidRDefault="002D7240" w:rsidP="002D7240">
            <w:pPr>
              <w:ind w:right="-8"/>
              <w:jc w:val="center"/>
              <w:rPr>
                <w:rFonts w:ascii="Times New Roman" w:hAnsi="Times New Roman"/>
                <w:szCs w:val="26"/>
              </w:rPr>
            </w:pPr>
          </w:p>
        </w:tc>
        <w:tc>
          <w:tcPr>
            <w:tcW w:w="2126" w:type="dxa"/>
            <w:vAlign w:val="center"/>
          </w:tcPr>
          <w:p w14:paraId="6520104A" w14:textId="77777777" w:rsidR="002D7240" w:rsidRDefault="002D7240" w:rsidP="002D7240">
            <w:pPr>
              <w:jc w:val="center"/>
              <w:rPr>
                <w:rFonts w:ascii="Times New Roman" w:hAnsi="Times New Roman"/>
                <w:szCs w:val="26"/>
              </w:rPr>
            </w:pPr>
            <w:r>
              <w:rPr>
                <w:rFonts w:ascii="Times New Roman" w:hAnsi="Times New Roman"/>
                <w:szCs w:val="26"/>
              </w:rPr>
              <w:t>квітень</w:t>
            </w:r>
          </w:p>
        </w:tc>
        <w:tc>
          <w:tcPr>
            <w:tcW w:w="1990" w:type="dxa"/>
            <w:vAlign w:val="center"/>
          </w:tcPr>
          <w:p w14:paraId="1A1DD28F" w14:textId="77777777" w:rsidR="002D7240" w:rsidRDefault="002D7240" w:rsidP="002D7240">
            <w:pPr>
              <w:jc w:val="center"/>
              <w:rPr>
                <w:rFonts w:ascii="Times New Roman" w:hAnsi="Times New Roman"/>
                <w:szCs w:val="26"/>
              </w:rPr>
            </w:pPr>
          </w:p>
        </w:tc>
      </w:tr>
      <w:tr w:rsidR="002D7240" w14:paraId="72ECD747" w14:textId="77777777" w:rsidTr="002D7240">
        <w:trPr>
          <w:trHeight w:val="20"/>
          <w:jc w:val="center"/>
        </w:trPr>
        <w:tc>
          <w:tcPr>
            <w:tcW w:w="7508" w:type="dxa"/>
          </w:tcPr>
          <w:p w14:paraId="3AF6E51B" w14:textId="77777777" w:rsidR="002D7240" w:rsidRDefault="002D7240" w:rsidP="002D7240">
            <w:pPr>
              <w:tabs>
                <w:tab w:val="left" w:pos="0"/>
              </w:tabs>
              <w:contextualSpacing/>
              <w:rPr>
                <w:rFonts w:ascii="Times New Roman" w:hAnsi="Times New Roman"/>
                <w:szCs w:val="26"/>
              </w:rPr>
            </w:pPr>
            <w:r>
              <w:rPr>
                <w:rFonts w:ascii="Times New Roman" w:hAnsi="Times New Roman"/>
                <w:szCs w:val="26"/>
              </w:rPr>
              <w:t>388. Продовження оцифрування вторинної геологічної інформації, забезпечення розвитку ІТ-архітектури Державного геологічного порталу</w:t>
            </w:r>
          </w:p>
        </w:tc>
        <w:tc>
          <w:tcPr>
            <w:tcW w:w="3391" w:type="dxa"/>
            <w:vAlign w:val="center"/>
          </w:tcPr>
          <w:p w14:paraId="6174323C" w14:textId="4C6B4D25" w:rsidR="00EA7B3D" w:rsidRDefault="00EA7B3D" w:rsidP="00EA7B3D">
            <w:pPr>
              <w:ind w:right="-8"/>
              <w:jc w:val="center"/>
              <w:rPr>
                <w:rFonts w:ascii="Times New Roman" w:hAnsi="Times New Roman"/>
                <w:szCs w:val="26"/>
              </w:rPr>
            </w:pPr>
            <w:proofErr w:type="spellStart"/>
            <w:r>
              <w:rPr>
                <w:rFonts w:ascii="Times New Roman" w:hAnsi="Times New Roman"/>
                <w:szCs w:val="26"/>
              </w:rPr>
              <w:t>Бучко</w:t>
            </w:r>
            <w:proofErr w:type="spellEnd"/>
            <w:r>
              <w:rPr>
                <w:rFonts w:ascii="Times New Roman" w:hAnsi="Times New Roman"/>
                <w:szCs w:val="26"/>
              </w:rPr>
              <w:t xml:space="preserve"> В.А.</w:t>
            </w:r>
          </w:p>
          <w:p w14:paraId="5D8CC357" w14:textId="2984A9D6" w:rsidR="00EA7B3D" w:rsidRDefault="00EA7B3D" w:rsidP="002D7240">
            <w:pPr>
              <w:ind w:right="-8"/>
              <w:jc w:val="center"/>
              <w:rPr>
                <w:rFonts w:ascii="Times New Roman" w:hAnsi="Times New Roman"/>
                <w:szCs w:val="26"/>
              </w:rPr>
            </w:pPr>
            <w:proofErr w:type="spellStart"/>
            <w:r>
              <w:rPr>
                <w:rFonts w:ascii="Times New Roman" w:hAnsi="Times New Roman"/>
                <w:szCs w:val="26"/>
              </w:rPr>
              <w:t>Дехтяренко</w:t>
            </w:r>
            <w:proofErr w:type="spellEnd"/>
            <w:r>
              <w:rPr>
                <w:rFonts w:ascii="Times New Roman" w:hAnsi="Times New Roman"/>
                <w:szCs w:val="26"/>
              </w:rPr>
              <w:t xml:space="preserve"> С.С.</w:t>
            </w:r>
          </w:p>
          <w:p w14:paraId="11B621D7" w14:textId="250C32C6" w:rsidR="00EA7B3D" w:rsidRDefault="00EA7B3D" w:rsidP="00EA7B3D">
            <w:pPr>
              <w:ind w:right="-8"/>
              <w:jc w:val="center"/>
              <w:rPr>
                <w:rFonts w:ascii="Times New Roman" w:hAnsi="Times New Roman"/>
                <w:szCs w:val="26"/>
              </w:rPr>
            </w:pPr>
            <w:r w:rsidRPr="002D7240">
              <w:rPr>
                <w:rFonts w:ascii="Times New Roman" w:hAnsi="Times New Roman"/>
                <w:szCs w:val="26"/>
              </w:rPr>
              <w:t>Стрижак В.П.</w:t>
            </w:r>
          </w:p>
          <w:p w14:paraId="3A48CD89" w14:textId="556152E6" w:rsidR="00EA7B3D" w:rsidRDefault="00EA7B3D" w:rsidP="002D7240">
            <w:pPr>
              <w:ind w:right="-8"/>
              <w:jc w:val="center"/>
              <w:rPr>
                <w:rFonts w:ascii="Times New Roman" w:hAnsi="Times New Roman"/>
                <w:szCs w:val="26"/>
              </w:rPr>
            </w:pPr>
            <w:proofErr w:type="spellStart"/>
            <w:r w:rsidRPr="002D7240">
              <w:rPr>
                <w:rFonts w:ascii="Times New Roman" w:hAnsi="Times New Roman"/>
                <w:szCs w:val="26"/>
              </w:rPr>
              <w:t>Ківель</w:t>
            </w:r>
            <w:proofErr w:type="spellEnd"/>
            <w:r w:rsidRPr="002D7240">
              <w:rPr>
                <w:rFonts w:ascii="Times New Roman" w:hAnsi="Times New Roman"/>
                <w:szCs w:val="26"/>
              </w:rPr>
              <w:t xml:space="preserve"> Д.В.</w:t>
            </w:r>
          </w:p>
          <w:p w14:paraId="60514E8D" w14:textId="1C8AE71E" w:rsidR="002D7240" w:rsidRDefault="002D7240" w:rsidP="00EA7B3D">
            <w:pPr>
              <w:ind w:right="-8"/>
              <w:jc w:val="center"/>
              <w:rPr>
                <w:rFonts w:ascii="Times New Roman" w:hAnsi="Times New Roman"/>
                <w:szCs w:val="26"/>
              </w:rPr>
            </w:pPr>
          </w:p>
        </w:tc>
        <w:tc>
          <w:tcPr>
            <w:tcW w:w="2126" w:type="dxa"/>
            <w:vAlign w:val="center"/>
          </w:tcPr>
          <w:p w14:paraId="2A3F7002" w14:textId="0E3E833C" w:rsidR="002D7240" w:rsidRDefault="00EA7B3D" w:rsidP="002D7240">
            <w:pPr>
              <w:jc w:val="center"/>
              <w:rPr>
                <w:rFonts w:ascii="Times New Roman" w:hAnsi="Times New Roman"/>
                <w:szCs w:val="26"/>
              </w:rPr>
            </w:pPr>
            <w:r>
              <w:rPr>
                <w:rFonts w:ascii="Times New Roman" w:hAnsi="Times New Roman"/>
                <w:szCs w:val="26"/>
              </w:rPr>
              <w:t>протягом року</w:t>
            </w:r>
          </w:p>
        </w:tc>
        <w:tc>
          <w:tcPr>
            <w:tcW w:w="1990" w:type="dxa"/>
            <w:vAlign w:val="center"/>
          </w:tcPr>
          <w:p w14:paraId="5EB8CF12" w14:textId="2FA59323" w:rsidR="002D7240" w:rsidRDefault="00EA7B3D" w:rsidP="002D7240">
            <w:pPr>
              <w:jc w:val="center"/>
              <w:rPr>
                <w:rFonts w:ascii="Times New Roman" w:hAnsi="Times New Roman"/>
                <w:szCs w:val="26"/>
              </w:rPr>
            </w:pPr>
            <w:r>
              <w:rPr>
                <w:rFonts w:ascii="Times New Roman" w:hAnsi="Times New Roman"/>
                <w:szCs w:val="26"/>
              </w:rPr>
              <w:t xml:space="preserve">розміщено 45% </w:t>
            </w:r>
            <w:proofErr w:type="spellStart"/>
            <w:r>
              <w:rPr>
                <w:rFonts w:ascii="Times New Roman" w:hAnsi="Times New Roman"/>
                <w:szCs w:val="26"/>
              </w:rPr>
              <w:t>геолзвітів</w:t>
            </w:r>
            <w:proofErr w:type="spellEnd"/>
          </w:p>
        </w:tc>
      </w:tr>
      <w:tr w:rsidR="002D7240" w14:paraId="0C0C178F" w14:textId="77777777" w:rsidTr="002D7240">
        <w:trPr>
          <w:trHeight w:val="20"/>
          <w:jc w:val="center"/>
        </w:trPr>
        <w:tc>
          <w:tcPr>
            <w:tcW w:w="7508" w:type="dxa"/>
          </w:tcPr>
          <w:p w14:paraId="030BB4A9" w14:textId="77777777" w:rsidR="002D7240" w:rsidRDefault="002D7240" w:rsidP="002D7240">
            <w:pPr>
              <w:tabs>
                <w:tab w:val="left" w:pos="0"/>
              </w:tabs>
              <w:contextualSpacing/>
              <w:rPr>
                <w:rFonts w:ascii="Times New Roman" w:hAnsi="Times New Roman"/>
                <w:szCs w:val="26"/>
              </w:rPr>
            </w:pPr>
            <w:r>
              <w:rPr>
                <w:rFonts w:ascii="Times New Roman" w:hAnsi="Times New Roman"/>
                <w:szCs w:val="26"/>
              </w:rPr>
              <w:t>556. Розроблення та подання Кабінетові Міністрів України законопроекту про внесення змін до деяких законодавчих актів щодо діяльності з буріння та використання свердловин для добування підземних вод</w:t>
            </w:r>
          </w:p>
        </w:tc>
        <w:tc>
          <w:tcPr>
            <w:tcW w:w="3391" w:type="dxa"/>
            <w:vAlign w:val="center"/>
          </w:tcPr>
          <w:p w14:paraId="0FFB355C" w14:textId="701B0C25" w:rsidR="00EA7B3D" w:rsidRDefault="00EA7B3D" w:rsidP="00EA7B3D">
            <w:pPr>
              <w:ind w:right="-8"/>
              <w:jc w:val="center"/>
              <w:rPr>
                <w:rFonts w:ascii="Times New Roman" w:hAnsi="Times New Roman"/>
                <w:szCs w:val="26"/>
              </w:rPr>
            </w:pPr>
            <w:proofErr w:type="spellStart"/>
            <w:r>
              <w:rPr>
                <w:rFonts w:ascii="Times New Roman" w:hAnsi="Times New Roman"/>
                <w:szCs w:val="26"/>
              </w:rPr>
              <w:t>Бучко</w:t>
            </w:r>
            <w:proofErr w:type="spellEnd"/>
            <w:r>
              <w:rPr>
                <w:rFonts w:ascii="Times New Roman" w:hAnsi="Times New Roman"/>
                <w:szCs w:val="26"/>
              </w:rPr>
              <w:t xml:space="preserve"> В.А.</w:t>
            </w:r>
          </w:p>
          <w:p w14:paraId="731E603A" w14:textId="55B15AF4" w:rsidR="002D7240" w:rsidRPr="002D7240" w:rsidRDefault="002D7240" w:rsidP="002D7240">
            <w:pPr>
              <w:ind w:right="-8"/>
              <w:jc w:val="center"/>
              <w:rPr>
                <w:rFonts w:ascii="Times New Roman" w:hAnsi="Times New Roman"/>
                <w:szCs w:val="26"/>
              </w:rPr>
            </w:pPr>
            <w:r w:rsidRPr="002D7240">
              <w:rPr>
                <w:rFonts w:ascii="Times New Roman" w:hAnsi="Times New Roman"/>
                <w:szCs w:val="26"/>
              </w:rPr>
              <w:t>Стрижак В.П.</w:t>
            </w:r>
          </w:p>
          <w:p w14:paraId="6F5E910C" w14:textId="77777777" w:rsidR="002D7240" w:rsidRDefault="002D7240" w:rsidP="002D7240">
            <w:pPr>
              <w:ind w:right="-8"/>
              <w:jc w:val="center"/>
              <w:rPr>
                <w:rFonts w:ascii="Times New Roman" w:hAnsi="Times New Roman"/>
                <w:szCs w:val="26"/>
              </w:rPr>
            </w:pPr>
            <w:r w:rsidRPr="002D7240">
              <w:rPr>
                <w:rFonts w:ascii="Times New Roman" w:hAnsi="Times New Roman"/>
                <w:szCs w:val="26"/>
              </w:rPr>
              <w:t>Губа С.М.</w:t>
            </w:r>
          </w:p>
        </w:tc>
        <w:tc>
          <w:tcPr>
            <w:tcW w:w="2126" w:type="dxa"/>
            <w:vAlign w:val="center"/>
          </w:tcPr>
          <w:p w14:paraId="19EF7392" w14:textId="77777777" w:rsidR="002D7240" w:rsidRDefault="002D7240" w:rsidP="002D7240">
            <w:pPr>
              <w:jc w:val="center"/>
              <w:rPr>
                <w:rFonts w:ascii="Times New Roman" w:hAnsi="Times New Roman"/>
                <w:szCs w:val="26"/>
              </w:rPr>
            </w:pPr>
            <w:r>
              <w:rPr>
                <w:rFonts w:ascii="Times New Roman" w:hAnsi="Times New Roman"/>
                <w:szCs w:val="26"/>
              </w:rPr>
              <w:t>листопад</w:t>
            </w:r>
          </w:p>
        </w:tc>
        <w:tc>
          <w:tcPr>
            <w:tcW w:w="1990" w:type="dxa"/>
            <w:vAlign w:val="center"/>
          </w:tcPr>
          <w:p w14:paraId="12316569" w14:textId="77777777" w:rsidR="002D7240" w:rsidRDefault="002D7240" w:rsidP="002D7240">
            <w:pPr>
              <w:jc w:val="center"/>
              <w:rPr>
                <w:rFonts w:ascii="Times New Roman" w:hAnsi="Times New Roman"/>
                <w:szCs w:val="26"/>
              </w:rPr>
            </w:pPr>
          </w:p>
        </w:tc>
      </w:tr>
    </w:tbl>
    <w:p w14:paraId="46F07515" w14:textId="77777777" w:rsidR="002D7240" w:rsidRDefault="002D7240" w:rsidP="002D7240"/>
    <w:sectPr w:rsidR="002D7240" w:rsidSect="002D7240">
      <w:pgSz w:w="16838" w:h="11906" w:orient="landscape"/>
      <w:pgMar w:top="56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40"/>
    <w:rsid w:val="00095F24"/>
    <w:rsid w:val="00151905"/>
    <w:rsid w:val="002D7240"/>
    <w:rsid w:val="004D0036"/>
    <w:rsid w:val="005572B1"/>
    <w:rsid w:val="00A93A75"/>
    <w:rsid w:val="00E1021D"/>
    <w:rsid w:val="00EA7B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12E2C"/>
  <w15:chartTrackingRefBased/>
  <w15:docId w15:val="{EEAA06F2-8FF4-4960-B717-D8BA4520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240"/>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253</Words>
  <Characters>1446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Стахович Дехтяренко</dc:creator>
  <cp:keywords/>
  <dc:description/>
  <cp:lastModifiedBy>I Kotsiuruba</cp:lastModifiedBy>
  <cp:revision>5</cp:revision>
  <dcterms:created xsi:type="dcterms:W3CDTF">2023-03-22T08:22:00Z</dcterms:created>
  <dcterms:modified xsi:type="dcterms:W3CDTF">2023-03-23T14:54:00Z</dcterms:modified>
</cp:coreProperties>
</file>