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6379" w14:textId="58D15552" w:rsidR="001115F9" w:rsidRPr="001115F9" w:rsidRDefault="001115F9" w:rsidP="001115F9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1115F9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 wp14:anchorId="394B8D65" wp14:editId="2E7EFD8A">
            <wp:extent cx="435610" cy="609600"/>
            <wp:effectExtent l="0" t="0" r="2540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CC3AA" w14:textId="77777777" w:rsidR="001115F9" w:rsidRPr="001115F9" w:rsidRDefault="001115F9" w:rsidP="001115F9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1115F9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14:paraId="030B3F22" w14:textId="77777777" w:rsidR="001115F9" w:rsidRPr="001115F9" w:rsidRDefault="001115F9" w:rsidP="001115F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14:paraId="61819DE4" w14:textId="77777777" w:rsidR="001115F9" w:rsidRPr="001115F9" w:rsidRDefault="001115F9" w:rsidP="001115F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1115F9">
        <w:rPr>
          <w:rFonts w:eastAsia="Calibri"/>
          <w:color w:val="2D4467"/>
          <w:sz w:val="32"/>
          <w:szCs w:val="32"/>
          <w:lang w:eastAsia="en-US"/>
        </w:rPr>
        <w:t>НАКАЗ</w:t>
      </w:r>
    </w:p>
    <w:p w14:paraId="449329EB" w14:textId="77777777" w:rsidR="001115F9" w:rsidRPr="001115F9" w:rsidRDefault="001115F9" w:rsidP="001115F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1115F9" w:rsidRPr="001115F9" w14:paraId="25F692C1" w14:textId="77777777" w:rsidTr="009C6831">
        <w:tc>
          <w:tcPr>
            <w:tcW w:w="570" w:type="dxa"/>
            <w:shd w:val="clear" w:color="auto" w:fill="auto"/>
          </w:tcPr>
          <w:p w14:paraId="5CBBF10A" w14:textId="77777777" w:rsidR="001115F9" w:rsidRPr="001115F9" w:rsidRDefault="001115F9" w:rsidP="001115F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311AF037" w14:textId="640AD0F4" w:rsidR="001115F9" w:rsidRPr="001115F9" w:rsidRDefault="00A42A65" w:rsidP="001115F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03 березня</w:t>
            </w:r>
          </w:p>
        </w:tc>
        <w:tc>
          <w:tcPr>
            <w:tcW w:w="1559" w:type="dxa"/>
            <w:shd w:val="clear" w:color="auto" w:fill="auto"/>
          </w:tcPr>
          <w:p w14:paraId="717E30D0" w14:textId="77777777" w:rsidR="001115F9" w:rsidRPr="001115F9" w:rsidRDefault="001115F9" w:rsidP="001115F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>2</w:t>
            </w: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3</w:t>
            </w: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 </w:t>
            </w: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14:paraId="11239CAB" w14:textId="77777777" w:rsidR="001115F9" w:rsidRPr="001115F9" w:rsidRDefault="001115F9" w:rsidP="001115F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14:paraId="1E3DFE66" w14:textId="77777777" w:rsidR="001115F9" w:rsidRPr="001115F9" w:rsidRDefault="001115F9" w:rsidP="001115F9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115F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6453" w14:textId="5E0A5A26" w:rsidR="001115F9" w:rsidRPr="001115F9" w:rsidRDefault="00A42A65" w:rsidP="001115F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1F3864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1F3864"/>
                <w:sz w:val="28"/>
                <w:lang w:val="uk-UA" w:eastAsia="en-US"/>
              </w:rPr>
              <w:t>107</w:t>
            </w:r>
          </w:p>
        </w:tc>
      </w:tr>
    </w:tbl>
    <w:p w14:paraId="56AA7CE8" w14:textId="7024B494" w:rsidR="0043533D" w:rsidRDefault="0043533D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14:paraId="4B307532" w14:textId="77777777" w:rsidR="00D218CA" w:rsidRPr="00DA0EEF" w:rsidRDefault="00D218CA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14:paraId="6586B3A2" w14:textId="77777777" w:rsidR="00EE0251" w:rsidRPr="001115F9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1115F9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CA4845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14:paraId="7BA64881" w14:textId="77777777" w:rsidR="0094455A" w:rsidRPr="001115F9" w:rsidRDefault="00EE0251" w:rsidP="00CA484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94455A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продовження строку дії та </w:t>
      </w:r>
    </w:p>
    <w:p w14:paraId="35388A54" w14:textId="77777777" w:rsidR="00EE0251" w:rsidRPr="001115F9" w:rsidRDefault="0094455A" w:rsidP="00CA484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внесення змін до</w:t>
      </w:r>
      <w:r w:rsidR="00EE0251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 w:rsidR="00006764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="00EE0251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006764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="00EE0251"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14:paraId="551F8FF5" w14:textId="77777777" w:rsidR="00EE0251" w:rsidRPr="001115F9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1115F9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14:paraId="36E282DF" w14:textId="77777777" w:rsidR="0043533D" w:rsidRPr="001115F9" w:rsidRDefault="0043533D" w:rsidP="00EE0251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sz w:val="28"/>
          <w:szCs w:val="28"/>
          <w:lang w:val="uk-UA"/>
        </w:rPr>
      </w:pPr>
    </w:p>
    <w:p w14:paraId="2AC368D3" w14:textId="79709C2F" w:rsidR="00777BF5" w:rsidRPr="001115F9" w:rsidRDefault="00BA5CA7" w:rsidP="001115F9">
      <w:pPr>
        <w:ind w:firstLine="708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1115F9">
        <w:rPr>
          <w:b w:val="0"/>
          <w:bCs w:val="0"/>
          <w:color w:val="000000"/>
          <w:sz w:val="28"/>
          <w:szCs w:val="28"/>
          <w:lang w:val="uk-UA"/>
        </w:rPr>
        <w:t>На підставі пункту 9 Положення про Державну службу геології та надр України, затвердженого постановою Кабінету Міністрів України від 30.12.2015 № 1174, в</w:t>
      </w:r>
      <w:r w:rsidR="008F28D2" w:rsidRPr="001115F9">
        <w:rPr>
          <w:b w:val="0"/>
          <w:bCs w:val="0"/>
          <w:color w:val="000000"/>
          <w:sz w:val="28"/>
          <w:szCs w:val="28"/>
          <w:lang w:val="uk-UA"/>
        </w:rPr>
        <w:t>ідповідно до пунктів 13 та</w:t>
      </w:r>
      <w:r w:rsidR="004F71CC" w:rsidRPr="001115F9">
        <w:rPr>
          <w:b w:val="0"/>
          <w:bCs w:val="0"/>
          <w:color w:val="000000"/>
          <w:sz w:val="28"/>
          <w:szCs w:val="28"/>
          <w:lang w:val="uk-UA"/>
        </w:rPr>
        <w:t xml:space="preserve"> 14</w:t>
      </w:r>
      <w:r w:rsidR="00F07DA3" w:rsidRPr="001115F9">
        <w:rPr>
          <w:b w:val="0"/>
          <w:bCs w:val="0"/>
          <w:color w:val="000000"/>
          <w:sz w:val="28"/>
          <w:szCs w:val="28"/>
          <w:lang w:val="uk-UA"/>
        </w:rPr>
        <w:t xml:space="preserve"> Порядку надання спеціальних дозволів на користування надрами, затвердженого постановою Кабінету Міністрів України від 30.05.2011 № 615 (в редакції постанови Кабінету Міністрів України </w:t>
      </w:r>
      <w:r w:rsidR="00734508" w:rsidRPr="001115F9">
        <w:rPr>
          <w:b w:val="0"/>
          <w:bCs w:val="0"/>
          <w:color w:val="000000"/>
          <w:sz w:val="28"/>
          <w:szCs w:val="28"/>
          <w:lang w:val="uk-UA"/>
        </w:rPr>
        <w:br/>
      </w:r>
      <w:r w:rsidR="00F07DA3" w:rsidRPr="001115F9">
        <w:rPr>
          <w:b w:val="0"/>
          <w:bCs w:val="0"/>
          <w:color w:val="000000"/>
          <w:sz w:val="28"/>
          <w:szCs w:val="28"/>
          <w:lang w:val="uk-UA"/>
        </w:rPr>
        <w:t>від 19.02.2020 № 124)</w:t>
      </w:r>
      <w:r w:rsidR="006C1A2B" w:rsidRPr="001115F9">
        <w:rPr>
          <w:b w:val="0"/>
          <w:bCs w:val="0"/>
          <w:color w:val="000000"/>
          <w:sz w:val="28"/>
          <w:szCs w:val="28"/>
          <w:lang w:val="uk-UA"/>
        </w:rPr>
        <w:t xml:space="preserve"> (далі – Порядок</w:t>
      </w:r>
      <w:r w:rsidR="008F28D2" w:rsidRPr="001115F9">
        <w:rPr>
          <w:b w:val="0"/>
          <w:bCs w:val="0"/>
          <w:color w:val="000000"/>
          <w:sz w:val="28"/>
          <w:szCs w:val="28"/>
          <w:lang w:val="uk-UA"/>
        </w:rPr>
        <w:t>)</w:t>
      </w:r>
      <w:r w:rsidR="00ED41A3" w:rsidRPr="001115F9">
        <w:rPr>
          <w:b w:val="0"/>
          <w:bCs w:val="0"/>
          <w:color w:val="000000"/>
          <w:sz w:val="28"/>
          <w:szCs w:val="28"/>
          <w:lang w:val="uk-UA"/>
        </w:rPr>
        <w:t>,</w:t>
      </w:r>
      <w:r w:rsidR="00323BAB" w:rsidRPr="001115F9">
        <w:rPr>
          <w:b w:val="0"/>
          <w:color w:val="000000"/>
          <w:sz w:val="28"/>
          <w:szCs w:val="28"/>
          <w:lang w:val="uk-UA"/>
        </w:rPr>
        <w:t xml:space="preserve"> з урахуванням рекомендації Робочої групи з питань надрокористування (протокол від </w:t>
      </w:r>
      <w:r w:rsidR="004F71CC" w:rsidRPr="001115F9">
        <w:rPr>
          <w:b w:val="0"/>
          <w:color w:val="000000"/>
          <w:sz w:val="28"/>
          <w:szCs w:val="28"/>
          <w:lang w:val="uk-UA"/>
        </w:rPr>
        <w:t>08.10.2021 № 23</w:t>
      </w:r>
      <w:r w:rsidR="00323BAB" w:rsidRPr="001115F9">
        <w:rPr>
          <w:b w:val="0"/>
          <w:color w:val="000000"/>
          <w:sz w:val="28"/>
          <w:szCs w:val="28"/>
          <w:lang w:val="uk-UA"/>
        </w:rPr>
        <w:t xml:space="preserve"> - РГ/2021)</w:t>
      </w:r>
    </w:p>
    <w:p w14:paraId="259928E4" w14:textId="77777777" w:rsidR="00A041C3" w:rsidRPr="001115F9" w:rsidRDefault="00A041C3" w:rsidP="001115F9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14:paraId="7FC27C2E" w14:textId="77777777" w:rsidR="00777BF5" w:rsidRPr="001115F9" w:rsidRDefault="00777BF5" w:rsidP="001115F9">
      <w:pPr>
        <w:ind w:right="2"/>
        <w:rPr>
          <w:color w:val="000000"/>
          <w:spacing w:val="41"/>
          <w:w w:val="104"/>
          <w:sz w:val="28"/>
          <w:szCs w:val="28"/>
          <w:lang w:val="uk-UA"/>
        </w:rPr>
      </w:pPr>
      <w:r w:rsidRPr="001115F9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14:paraId="6322EA3E" w14:textId="77777777" w:rsidR="00777BF5" w:rsidRPr="001115F9" w:rsidRDefault="00777BF5" w:rsidP="001115F9">
      <w:pPr>
        <w:ind w:right="2"/>
        <w:rPr>
          <w:color w:val="000000"/>
          <w:spacing w:val="41"/>
          <w:w w:val="104"/>
          <w:sz w:val="28"/>
          <w:szCs w:val="28"/>
          <w:lang w:val="uk-UA"/>
        </w:rPr>
      </w:pPr>
    </w:p>
    <w:p w14:paraId="4D813E57" w14:textId="0969ABF6" w:rsidR="00DA0EEF" w:rsidRPr="001115F9" w:rsidRDefault="00777BF5" w:rsidP="001115F9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E56268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</w:t>
      </w:r>
      <w:r w:rsidR="00DA0EEF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4F71CC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пункт 5</w:t>
      </w:r>
      <w:r w:rsidR="00323BAB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додатку</w:t>
      </w:r>
      <w:r w:rsidR="00ED41A3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DA0EEF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до наказу Держгео</w:t>
      </w:r>
      <w:r w:rsidR="004F71CC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надр від 30.12.2020</w:t>
      </w:r>
      <w:r w:rsidR="009F3D27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№ </w:t>
      </w:r>
      <w:r w:rsidR="004F71CC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628</w:t>
      </w:r>
      <w:r w:rsidR="00DA0EEF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«П</w:t>
      </w:r>
      <w:r w:rsidR="001115F9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ро продовження строку дії</w:t>
      </w:r>
      <w:r w:rsid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1115F9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спеціальн</w:t>
      </w:r>
      <w:r w:rsid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их</w:t>
      </w:r>
      <w:r w:rsidR="001115F9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дозвол</w:t>
      </w:r>
      <w:r w:rsid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ів</w:t>
      </w:r>
      <w:r w:rsidR="001115F9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на користування надрами</w:t>
      </w:r>
      <w:r w:rsid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» </w:t>
      </w:r>
      <w:r w:rsidR="00DA0EEF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 частині </w:t>
      </w:r>
      <w:r w:rsidR="004F71CC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продовження строку дії</w:t>
      </w:r>
      <w:r w:rsidR="00935EBE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та пункт 5 додатку до наказу Держгеонадр </w:t>
      </w:r>
      <w:r w:rsidR="006336E4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="00935EBE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від 30.12.2020 № 629</w:t>
      </w:r>
      <w:r w:rsid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«П</w:t>
      </w:r>
      <w:r w:rsidR="001115F9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ро </w:t>
      </w:r>
      <w:r w:rsid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внесення змін до </w:t>
      </w:r>
      <w:r w:rsidR="001115F9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спеціальн</w:t>
      </w:r>
      <w:r w:rsid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их</w:t>
      </w:r>
      <w:r w:rsidR="001115F9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дозвол</w:t>
      </w:r>
      <w:r w:rsid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ів</w:t>
      </w:r>
      <w:r w:rsidR="001115F9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на користування надрами</w:t>
      </w:r>
      <w:r w:rsid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»</w:t>
      </w:r>
      <w:r w:rsidR="00935EBE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в частині внесення змін </w:t>
      </w:r>
      <w:r w:rsidR="006336E4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Державному підприємству «Львіввугілля» </w:t>
      </w:r>
      <w:r w:rsidR="001115F9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="006336E4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(код ЄДРПОУ 32323256) </w:t>
      </w:r>
      <w:r w:rsidR="00935EBE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до</w:t>
      </w:r>
      <w:r w:rsidR="006336E4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спеціального дозволу на користування надрами від 09.12.2005 № 3685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(далі – Дозвіл)</w:t>
      </w:r>
      <w:r w:rsidR="00935EBE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з метою видобування кам’яного вугілля поля шахти «Степова» (пласти</w:t>
      </w:r>
      <w:r w:rsid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: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</w:rPr>
        <w:t>b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vertAlign w:val="subscript"/>
          <w:lang w:val="uk-UA"/>
        </w:rPr>
        <w:t>1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, 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</w:rPr>
        <w:t>n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vertAlign w:val="subscript"/>
          <w:lang w:val="uk-UA"/>
        </w:rPr>
        <w:t>11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, 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</w:rPr>
        <w:t>n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vertAlign w:val="subscript"/>
          <w:lang w:val="uk-UA"/>
        </w:rPr>
        <w:t>9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, 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</w:rPr>
        <w:t>n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vertAlign w:val="subscript"/>
          <w:lang w:val="uk-UA"/>
        </w:rPr>
        <w:t>8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vertAlign w:val="superscript"/>
          <w:lang w:val="uk-UA"/>
        </w:rPr>
        <w:t>в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, 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</w:rPr>
        <w:t>n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vertAlign w:val="subscript"/>
          <w:lang w:val="uk-UA"/>
        </w:rPr>
        <w:t>8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, 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</w:rPr>
        <w:t>n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vertAlign w:val="subscript"/>
          <w:lang w:val="uk-UA"/>
        </w:rPr>
        <w:t>7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vertAlign w:val="superscript"/>
          <w:lang w:val="uk-UA"/>
        </w:rPr>
        <w:t>в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, 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</w:rPr>
        <w:t>n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vertAlign w:val="subscript"/>
          <w:lang w:val="uk-UA"/>
        </w:rPr>
        <w:t>7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, 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</w:rPr>
        <w:t>n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vertAlign w:val="subscript"/>
          <w:lang w:val="uk-UA"/>
        </w:rPr>
        <w:t>7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vertAlign w:val="superscript"/>
          <w:lang w:val="uk-UA"/>
        </w:rPr>
        <w:t>н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), що знаходиться у Львівській області</w:t>
      </w:r>
      <w:r w:rsidR="00C56E10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,</w:t>
      </w:r>
      <w:r w:rsidR="00C56E10" w:rsidRPr="001115F9">
        <w:rPr>
          <w:sz w:val="28"/>
          <w:szCs w:val="28"/>
          <w:lang w:val="uk-UA"/>
        </w:rPr>
        <w:t xml:space="preserve"> </w:t>
      </w:r>
      <w:r w:rsidR="00C56E10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у зв’язку з </w:t>
      </w:r>
      <w:r w:rsidR="00E57DCE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несплатою </w:t>
      </w:r>
      <w:r w:rsidR="000F3E3B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збору за продовження строку дії Дозволу </w:t>
      </w:r>
      <w:r w:rsidR="006C47E2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у визначений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6C47E2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в</w:t>
      </w:r>
      <w:r w:rsidR="00197FCA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пункті 13 Порядку строк</w:t>
      </w:r>
      <w:r w:rsidR="00DA0EEF" w:rsidRPr="001115F9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14:paraId="72416612" w14:textId="02118020" w:rsidR="00EE0251" w:rsidRPr="001115F9" w:rsidRDefault="00380AE8" w:rsidP="001115F9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1115F9">
        <w:rPr>
          <w:b w:val="0"/>
          <w:sz w:val="28"/>
          <w:szCs w:val="28"/>
          <w:lang w:val="uk-UA"/>
        </w:rPr>
        <w:t>2</w:t>
      </w:r>
      <w:r w:rsidR="007D2B20" w:rsidRPr="001115F9">
        <w:rPr>
          <w:b w:val="0"/>
          <w:sz w:val="28"/>
          <w:szCs w:val="28"/>
          <w:lang w:val="uk-UA"/>
        </w:rPr>
        <w:t xml:space="preserve">. </w:t>
      </w:r>
      <w:r w:rsidR="0068603F" w:rsidRPr="001115F9">
        <w:rPr>
          <w:b w:val="0"/>
          <w:sz w:val="28"/>
          <w:szCs w:val="28"/>
          <w:lang w:val="uk-UA"/>
        </w:rPr>
        <w:t>Відділу використання надр та забезпечення виконання процедур надання спеціальних дозволів вжити необхідних заходів щодо повернення суб’єкту господарювання заяви</w:t>
      </w:r>
      <w:r w:rsidR="001115F9">
        <w:rPr>
          <w:b w:val="0"/>
          <w:sz w:val="28"/>
          <w:szCs w:val="28"/>
          <w:lang w:val="uk-UA"/>
        </w:rPr>
        <w:t xml:space="preserve"> щодо продовження строку дії та внесення змін до спеціального дозволу на користування надрами</w:t>
      </w:r>
      <w:r w:rsidR="0068603F" w:rsidRPr="001115F9">
        <w:rPr>
          <w:b w:val="0"/>
          <w:sz w:val="28"/>
          <w:szCs w:val="28"/>
          <w:lang w:val="uk-UA"/>
        </w:rPr>
        <w:t xml:space="preserve"> з доданими до неї документами згідно з пунктом 1 цього наказу</w:t>
      </w:r>
      <w:r w:rsidR="00684D95" w:rsidRPr="001115F9">
        <w:rPr>
          <w:b w:val="0"/>
          <w:sz w:val="28"/>
          <w:szCs w:val="28"/>
          <w:lang w:val="uk-UA"/>
        </w:rPr>
        <w:t>.</w:t>
      </w:r>
    </w:p>
    <w:p w14:paraId="51F5B1E8" w14:textId="77777777" w:rsidR="001E4D94" w:rsidRPr="001115F9" w:rsidRDefault="00380AE8" w:rsidP="001115F9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1115F9"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1115F9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1115F9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5500F4EA" w14:textId="77777777" w:rsidR="001115F9" w:rsidRPr="001115F9" w:rsidRDefault="001115F9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14:paraId="1468D10F" w14:textId="77777777" w:rsidR="001E4D94" w:rsidRPr="001115F9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 w:val="28"/>
          <w:szCs w:val="28"/>
          <w:lang w:val="uk-UA"/>
        </w:rPr>
      </w:pPr>
      <w:r w:rsidRPr="001115F9">
        <w:rPr>
          <w:bCs w:val="0"/>
          <w:sz w:val="28"/>
          <w:szCs w:val="28"/>
          <w:lang w:val="uk-UA"/>
        </w:rPr>
        <w:t xml:space="preserve">Голова </w:t>
      </w:r>
      <w:r w:rsidRPr="001115F9">
        <w:rPr>
          <w:bCs w:val="0"/>
          <w:sz w:val="28"/>
          <w:szCs w:val="28"/>
          <w:lang w:val="uk-UA"/>
        </w:rPr>
        <w:tab/>
        <w:t xml:space="preserve">  </w:t>
      </w:r>
      <w:r w:rsidR="00DA0EEF" w:rsidRPr="001115F9">
        <w:rPr>
          <w:bCs w:val="0"/>
          <w:sz w:val="28"/>
          <w:szCs w:val="28"/>
          <w:lang w:val="uk-UA"/>
        </w:rPr>
        <w:t xml:space="preserve">   </w:t>
      </w:r>
      <w:r w:rsidRPr="001115F9">
        <w:rPr>
          <w:bCs w:val="0"/>
          <w:sz w:val="28"/>
          <w:szCs w:val="28"/>
          <w:lang w:val="uk-UA"/>
        </w:rPr>
        <w:t xml:space="preserve"> Роман ОПІМАХ</w:t>
      </w:r>
    </w:p>
    <w:sectPr w:rsidR="001E4D94" w:rsidRPr="001115F9" w:rsidSect="001115F9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80774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F5"/>
    <w:rsid w:val="0000483A"/>
    <w:rsid w:val="00006764"/>
    <w:rsid w:val="000430F7"/>
    <w:rsid w:val="00060B74"/>
    <w:rsid w:val="000B38B7"/>
    <w:rsid w:val="000C0183"/>
    <w:rsid w:val="000F0333"/>
    <w:rsid w:val="000F3E3B"/>
    <w:rsid w:val="001115F9"/>
    <w:rsid w:val="00127563"/>
    <w:rsid w:val="00183728"/>
    <w:rsid w:val="00197FCA"/>
    <w:rsid w:val="001D0778"/>
    <w:rsid w:val="001E4D94"/>
    <w:rsid w:val="001F5085"/>
    <w:rsid w:val="00214D07"/>
    <w:rsid w:val="00253D3B"/>
    <w:rsid w:val="00287E7A"/>
    <w:rsid w:val="002A133E"/>
    <w:rsid w:val="002B3456"/>
    <w:rsid w:val="002B3766"/>
    <w:rsid w:val="00323BAB"/>
    <w:rsid w:val="00380AE8"/>
    <w:rsid w:val="00384652"/>
    <w:rsid w:val="00397BCB"/>
    <w:rsid w:val="003B1A0C"/>
    <w:rsid w:val="003C7891"/>
    <w:rsid w:val="003E5169"/>
    <w:rsid w:val="00400E40"/>
    <w:rsid w:val="004149B3"/>
    <w:rsid w:val="004217AC"/>
    <w:rsid w:val="0043533D"/>
    <w:rsid w:val="00436E68"/>
    <w:rsid w:val="00455527"/>
    <w:rsid w:val="00463623"/>
    <w:rsid w:val="004A29AF"/>
    <w:rsid w:val="004C319D"/>
    <w:rsid w:val="004C7DB3"/>
    <w:rsid w:val="004E0690"/>
    <w:rsid w:val="004E6332"/>
    <w:rsid w:val="004F71CC"/>
    <w:rsid w:val="00503C7D"/>
    <w:rsid w:val="00505A74"/>
    <w:rsid w:val="00521AA7"/>
    <w:rsid w:val="0055013F"/>
    <w:rsid w:val="00577019"/>
    <w:rsid w:val="005A7C74"/>
    <w:rsid w:val="005B5B99"/>
    <w:rsid w:val="005E77F1"/>
    <w:rsid w:val="005F761C"/>
    <w:rsid w:val="006336E4"/>
    <w:rsid w:val="00666A39"/>
    <w:rsid w:val="00675C63"/>
    <w:rsid w:val="00683D86"/>
    <w:rsid w:val="00684D95"/>
    <w:rsid w:val="0068603F"/>
    <w:rsid w:val="006957F9"/>
    <w:rsid w:val="006A5118"/>
    <w:rsid w:val="006A75A7"/>
    <w:rsid w:val="006A782C"/>
    <w:rsid w:val="006C1A2B"/>
    <w:rsid w:val="006C47E2"/>
    <w:rsid w:val="00734508"/>
    <w:rsid w:val="00736544"/>
    <w:rsid w:val="00751D45"/>
    <w:rsid w:val="00777BF5"/>
    <w:rsid w:val="007D2B20"/>
    <w:rsid w:val="007E3A7B"/>
    <w:rsid w:val="007F5C56"/>
    <w:rsid w:val="00804560"/>
    <w:rsid w:val="00810449"/>
    <w:rsid w:val="00821856"/>
    <w:rsid w:val="00837771"/>
    <w:rsid w:val="00840E0A"/>
    <w:rsid w:val="00876C10"/>
    <w:rsid w:val="0088779F"/>
    <w:rsid w:val="008B4FB2"/>
    <w:rsid w:val="008F28D2"/>
    <w:rsid w:val="00935EBE"/>
    <w:rsid w:val="0094399E"/>
    <w:rsid w:val="0094455A"/>
    <w:rsid w:val="0094456D"/>
    <w:rsid w:val="0095321E"/>
    <w:rsid w:val="00957357"/>
    <w:rsid w:val="00991C2A"/>
    <w:rsid w:val="009A79C0"/>
    <w:rsid w:val="009B6E17"/>
    <w:rsid w:val="009C228D"/>
    <w:rsid w:val="009D3BD5"/>
    <w:rsid w:val="009F3D27"/>
    <w:rsid w:val="009F4D1C"/>
    <w:rsid w:val="00A041C3"/>
    <w:rsid w:val="00A16BDA"/>
    <w:rsid w:val="00A42A65"/>
    <w:rsid w:val="00A42BFF"/>
    <w:rsid w:val="00A82F21"/>
    <w:rsid w:val="00AA47C5"/>
    <w:rsid w:val="00AB0BCA"/>
    <w:rsid w:val="00AC6DA5"/>
    <w:rsid w:val="00B45587"/>
    <w:rsid w:val="00B57CDE"/>
    <w:rsid w:val="00BA5CA7"/>
    <w:rsid w:val="00BD12A1"/>
    <w:rsid w:val="00C03E42"/>
    <w:rsid w:val="00C32B7C"/>
    <w:rsid w:val="00C56E10"/>
    <w:rsid w:val="00CA4845"/>
    <w:rsid w:val="00CB35A9"/>
    <w:rsid w:val="00CE0DAE"/>
    <w:rsid w:val="00D143CF"/>
    <w:rsid w:val="00D160E1"/>
    <w:rsid w:val="00D218CA"/>
    <w:rsid w:val="00D37714"/>
    <w:rsid w:val="00D5452C"/>
    <w:rsid w:val="00D601AF"/>
    <w:rsid w:val="00D83C22"/>
    <w:rsid w:val="00D83D8E"/>
    <w:rsid w:val="00D877EB"/>
    <w:rsid w:val="00DA0EEF"/>
    <w:rsid w:val="00DA532F"/>
    <w:rsid w:val="00DA58EF"/>
    <w:rsid w:val="00DA6ECD"/>
    <w:rsid w:val="00E144C5"/>
    <w:rsid w:val="00E30027"/>
    <w:rsid w:val="00E44045"/>
    <w:rsid w:val="00E4547B"/>
    <w:rsid w:val="00E53110"/>
    <w:rsid w:val="00E56268"/>
    <w:rsid w:val="00E57DCE"/>
    <w:rsid w:val="00E6545C"/>
    <w:rsid w:val="00E774E7"/>
    <w:rsid w:val="00EA0B3B"/>
    <w:rsid w:val="00EB775B"/>
    <w:rsid w:val="00ED41A3"/>
    <w:rsid w:val="00EE0251"/>
    <w:rsid w:val="00EE09B1"/>
    <w:rsid w:val="00EE40EE"/>
    <w:rsid w:val="00EE7B9B"/>
    <w:rsid w:val="00F07DA3"/>
    <w:rsid w:val="00F346F1"/>
    <w:rsid w:val="00F62F38"/>
    <w:rsid w:val="00F71D02"/>
    <w:rsid w:val="00F73117"/>
    <w:rsid w:val="00F753E0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066B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Євген Валерійович Панченко</cp:lastModifiedBy>
  <cp:revision>7</cp:revision>
  <cp:lastPrinted>2021-08-13T06:07:00Z</cp:lastPrinted>
  <dcterms:created xsi:type="dcterms:W3CDTF">2022-01-25T16:02:00Z</dcterms:created>
  <dcterms:modified xsi:type="dcterms:W3CDTF">2023-03-03T07:46:00Z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2023-03-01T12:48:47Z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bdf66eb3-18dd-4e74-81b2-da05eccd4488</vt:lpwstr>
  </property>
  <property fmtid="{D5CDD505-2E9C-101B-9397-08002B2CF9AE}" pid="8" name="MSIP_Label_defa4170-0d19-0005-0004-bc88714345d2_ContentBits">
    <vt:lpwstr>0</vt:lpwstr>
  </property>
</Properties>
</file>