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A3D0" w14:textId="77777777" w:rsidR="00254636" w:rsidRPr="00866276" w:rsidRDefault="00254636" w:rsidP="006158BD">
      <w:pPr>
        <w:pStyle w:val="21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484A4A0" w14:textId="77777777" w:rsidR="00B0248D" w:rsidRPr="00866276" w:rsidRDefault="00254636" w:rsidP="00B663E8">
      <w:pPr>
        <w:widowControl w:val="0"/>
        <w:spacing w:after="0" w:line="240" w:lineRule="auto"/>
        <w:ind w:left="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</w:t>
      </w:r>
      <w:r w:rsidR="00924D8C" w:rsidRPr="00866276">
        <w:rPr>
          <w:rFonts w:ascii="Times New Roman" w:hAnsi="Times New Roman" w:cs="Times New Roman"/>
          <w:b/>
          <w:sz w:val="28"/>
          <w:szCs w:val="28"/>
          <w:lang w:val="uk-UA"/>
        </w:rPr>
        <w:t>постанови</w:t>
      </w: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Кабінету Міністрів України</w:t>
      </w:r>
    </w:p>
    <w:p w14:paraId="4F0330DD" w14:textId="0BCD1734" w:rsidR="00254636" w:rsidRPr="00866276" w:rsidRDefault="00254636" w:rsidP="00B663E8">
      <w:pPr>
        <w:widowControl w:val="0"/>
        <w:spacing w:after="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663E8" w:rsidRPr="0086627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Переліку </w:t>
      </w:r>
      <w:r w:rsidR="00B663E8" w:rsidRPr="008662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B663E8" w:rsidRPr="0086627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 надаватимуться у користування шляхом проведення аукціонів з продажу спеціальних дозволів на користування надрами</w:t>
      </w:r>
      <w:r w:rsidRPr="00866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48766101" w14:textId="77777777" w:rsidR="00254636" w:rsidRPr="00866276" w:rsidRDefault="00254636" w:rsidP="0061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745196" w14:textId="77777777" w:rsidR="00254636" w:rsidRPr="00866276" w:rsidRDefault="00254636" w:rsidP="006158BD">
      <w:pPr>
        <w:pStyle w:val="3"/>
        <w:spacing w:before="0" w:after="0" w:line="240" w:lineRule="auto"/>
        <w:ind w:left="630" w:right="140" w:hanging="15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>1. Мета</w:t>
      </w:r>
    </w:p>
    <w:p w14:paraId="096AA264" w14:textId="77777777" w:rsidR="006E1230" w:rsidRPr="00866276" w:rsidRDefault="00254636" w:rsidP="006158BD">
      <w:pPr>
        <w:spacing w:after="0" w:line="240" w:lineRule="auto"/>
        <w:ind w:left="16" w:right="140" w:firstLine="5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D8C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«</w:t>
      </w:r>
      <w:r w:rsidRPr="008662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</w:t>
      </w:r>
      <w:r w:rsidR="0049325E" w:rsidRPr="008662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альних дозволів на користування</w:t>
      </w:r>
      <w:r w:rsidRPr="008662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розроблено на виконання підпункт</w:t>
      </w:r>
      <w:r w:rsidR="009362E6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«б»</w:t>
      </w:r>
      <w:r w:rsidR="009362E6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підпункту 1 пункту 2 рішення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р. № 306, з метою захисту національних інтересів</w:t>
      </w:r>
      <w:r w:rsidR="00417CDF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7CDF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підвищення рівня обороноздатності держави.</w:t>
      </w:r>
    </w:p>
    <w:p w14:paraId="5AE480F6" w14:textId="77777777" w:rsidR="006E1230" w:rsidRPr="00866276" w:rsidRDefault="006E1230" w:rsidP="006158BD">
      <w:pPr>
        <w:spacing w:after="0" w:line="240" w:lineRule="auto"/>
        <w:ind w:left="16" w:right="140" w:firstLine="5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45046" w14:textId="0B4B2838" w:rsidR="00136463" w:rsidRPr="00866276" w:rsidRDefault="00254636" w:rsidP="006158BD">
      <w:pPr>
        <w:spacing w:after="0" w:line="240" w:lineRule="auto"/>
        <w:ind w:left="16" w:right="140" w:firstLine="5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0D85D169" w14:textId="4E983D6B" w:rsidR="00EA1838" w:rsidRPr="00866276" w:rsidRDefault="00EA1838" w:rsidP="00EA1838">
      <w:pPr>
        <w:pStyle w:val="3"/>
        <w:spacing w:before="0" w:after="0" w:line="240" w:lineRule="auto"/>
        <w:ind w:right="140" w:firstLine="615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Рішенням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</w:t>
      </w:r>
      <w:r w:rsidR="00AE7924" w:rsidRPr="0086627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від 23 липня 2021 р. № 306, схвалено перелік металічних руд та неметалічних корисних копалин, які мають стратегічне значення для сталого розвитку економіки та обороноздатності держави.</w:t>
      </w:r>
    </w:p>
    <w:p w14:paraId="61BF5AF8" w14:textId="77777777" w:rsidR="00EA1838" w:rsidRPr="00866276" w:rsidRDefault="00EA1838" w:rsidP="00EA1838">
      <w:pPr>
        <w:pStyle w:val="3"/>
        <w:spacing w:before="0" w:after="0" w:line="240" w:lineRule="auto"/>
        <w:ind w:right="140" w:firstLine="615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підпунктами «а» та «б» підпункту 1 пункту 2 рішення РНБО </w:t>
      </w:r>
      <w:r w:rsidRPr="00866276">
        <w:rPr>
          <w:rFonts w:ascii="Times New Roman" w:hAnsi="Times New Roman" w:cs="Times New Roman"/>
          <w:kern w:val="0"/>
          <w:sz w:val="28"/>
          <w:szCs w:val="28"/>
          <w:lang w:val="uk-UA" w:eastAsia="en-US"/>
        </w:rPr>
        <w:t>Кабінету Міністрів України доручено</w:t>
      </w:r>
      <w:bookmarkStart w:id="0" w:name="n8"/>
      <w:bookmarkEnd w:id="0"/>
      <w:r w:rsidRPr="00866276">
        <w:rPr>
          <w:rFonts w:ascii="Times New Roman" w:hAnsi="Times New Roman" w:cs="Times New Roman"/>
          <w:kern w:val="0"/>
          <w:sz w:val="28"/>
          <w:szCs w:val="28"/>
          <w:lang w:val="uk-UA" w:eastAsia="en-US"/>
        </w:rPr>
        <w:t xml:space="preserve"> </w:t>
      </w: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у двомісячний строк з урахуванням переліку, зазначеного в пункті 1 цього рішення, затвердити:</w:t>
      </w:r>
      <w:bookmarkStart w:id="1" w:name="n9"/>
      <w:bookmarkEnd w:id="1"/>
    </w:p>
    <w:p w14:paraId="0511D448" w14:textId="77777777" w:rsidR="00EA1838" w:rsidRPr="00866276" w:rsidRDefault="00EA1838" w:rsidP="00EA1838">
      <w:pPr>
        <w:pStyle w:val="3"/>
        <w:spacing w:before="0" w:after="0" w:line="240" w:lineRule="auto"/>
        <w:ind w:right="140" w:firstLine="58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</w:pP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а)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на умовах угод про розподіл продукції;</w:t>
      </w:r>
      <w:bookmarkStart w:id="2" w:name="n10"/>
      <w:bookmarkEnd w:id="2"/>
    </w:p>
    <w:p w14:paraId="18098F1F" w14:textId="77777777" w:rsidR="00EA1838" w:rsidRPr="00866276" w:rsidRDefault="00EA1838" w:rsidP="00EA1838">
      <w:pPr>
        <w:pStyle w:val="3"/>
        <w:spacing w:before="0" w:after="0" w:line="240" w:lineRule="auto"/>
        <w:ind w:right="140" w:firstLine="584"/>
        <w:rPr>
          <w:rFonts w:ascii="Times New Roman" w:hAnsi="Times New Roman" w:cs="Times New Roman"/>
          <w:kern w:val="0"/>
          <w:sz w:val="28"/>
          <w:szCs w:val="28"/>
          <w:lang w:val="uk-UA" w:eastAsia="en-US"/>
        </w:rPr>
      </w:pP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б)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</w:t>
      </w:r>
      <w:r w:rsidRPr="00866276">
        <w:rPr>
          <w:rFonts w:ascii="Times New Roman" w:hAnsi="Times New Roman" w:cs="Times New Roman"/>
          <w:kern w:val="0"/>
          <w:sz w:val="28"/>
          <w:szCs w:val="28"/>
          <w:lang w:val="uk-UA" w:eastAsia="en-US"/>
        </w:rPr>
        <w:t>озволів на користування надрами.</w:t>
      </w:r>
    </w:p>
    <w:p w14:paraId="41C45E3F" w14:textId="4DCC0093" w:rsidR="00EA1838" w:rsidRPr="00866276" w:rsidRDefault="00EA1838" w:rsidP="00EA1838">
      <w:pPr>
        <w:pStyle w:val="3"/>
        <w:spacing w:before="0" w:after="0" w:line="240" w:lineRule="auto"/>
        <w:ind w:right="140" w:firstLine="584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Планом організації виконання рішення РНБО, який схвалено на засіданні Кабінету Міністрів України (протокол № 97), органом, відповідальним за розробку проєкту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Уряду щодо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</w:t>
      </w: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шляхом проведення аукціонів з продажу спеціальних д</w:t>
      </w:r>
      <w:r w:rsidRPr="00866276">
        <w:rPr>
          <w:rFonts w:ascii="Times New Roman" w:hAnsi="Times New Roman" w:cs="Times New Roman"/>
          <w:kern w:val="0"/>
          <w:sz w:val="28"/>
          <w:szCs w:val="28"/>
          <w:lang w:val="uk-UA" w:eastAsia="en-US"/>
        </w:rPr>
        <w:t>озволів на користування надрами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, визначено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E4EE2D" w14:textId="785F2C1C" w:rsidR="005A679A" w:rsidRPr="00866276" w:rsidRDefault="005C2017" w:rsidP="0016474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У</w:t>
      </w:r>
      <w:r w:rsidR="008C0C3F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C0C3F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липн</w:t>
      </w:r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="008C0C3F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2021 р</w:t>
      </w:r>
      <w:r w:rsidR="008C0C3F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 Україною та Є</w:t>
      </w:r>
      <w:r w:rsidR="000953C9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вропейським 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0953C9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оюзом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95CE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укладе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ний</w:t>
      </w:r>
      <w:r w:rsidR="000953C9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Меморандум про стратегічне партнерство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галузі сировинних ресурсів</w:t>
      </w:r>
      <w:r w:rsidR="007E66FE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Отримання Україною статусу кандидата на вступ до ЄС, країну долучатимуть до Регламенту ЄС 2024/1252 «Про встановлення рамок для безпечного та сталого постачання критичної сировини» (</w:t>
      </w:r>
      <w:proofErr w:type="spellStart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European</w:t>
      </w:r>
      <w:proofErr w:type="spellEnd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Critical</w:t>
      </w:r>
      <w:proofErr w:type="spellEnd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Raw</w:t>
      </w:r>
      <w:proofErr w:type="spellEnd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73561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Materia</w:t>
      </w:r>
      <w:r w:rsidR="00624DE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ls</w:t>
      </w:r>
      <w:proofErr w:type="spellEnd"/>
      <w:r w:rsidR="00624DE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24DE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Act</w:t>
      </w:r>
      <w:proofErr w:type="spellEnd"/>
      <w:r w:rsidR="00624DE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від 11</w:t>
      </w:r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квітня </w:t>
      </w:r>
      <w:r w:rsidR="0016474B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</w:t>
      </w:r>
      <w:r w:rsidR="00077A38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</w:t>
      </w:r>
      <w:r w:rsidR="0016474B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679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який, серед іншого, передбачає сприяння в реалізації стратегічних </w:t>
      </w:r>
      <w:proofErr w:type="spellStart"/>
      <w:r w:rsidR="005A679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5A679A"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розробки корисних копалин, що містяться в переліку критичних для ЄС.</w:t>
      </w:r>
    </w:p>
    <w:p w14:paraId="55920D49" w14:textId="77777777" w:rsidR="005A679A" w:rsidRPr="00866276" w:rsidRDefault="005A679A" w:rsidP="005A679A">
      <w:pPr>
        <w:pStyle w:val="af0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866276">
        <w:rPr>
          <w:sz w:val="28"/>
          <w:szCs w:val="28"/>
          <w:lang w:val="uk-UA"/>
        </w:rPr>
        <w:t xml:space="preserve">Критичні корисні копалини стали частиною фінансування України в межах європейського інвестиційного плану </w:t>
      </w:r>
      <w:r w:rsidRPr="00866276">
        <w:rPr>
          <w:sz w:val="28"/>
          <w:szCs w:val="28"/>
        </w:rPr>
        <w:t>Ukraine</w:t>
      </w:r>
      <w:r w:rsidRPr="00866276">
        <w:rPr>
          <w:sz w:val="28"/>
          <w:szCs w:val="28"/>
          <w:lang w:val="uk-UA"/>
        </w:rPr>
        <w:t xml:space="preserve"> </w:t>
      </w:r>
      <w:r w:rsidRPr="00866276">
        <w:rPr>
          <w:sz w:val="28"/>
          <w:szCs w:val="28"/>
        </w:rPr>
        <w:t>Facility</w:t>
      </w:r>
      <w:r w:rsidRPr="00866276">
        <w:rPr>
          <w:sz w:val="28"/>
          <w:szCs w:val="28"/>
          <w:lang w:val="uk-UA"/>
        </w:rPr>
        <w:t xml:space="preserve"> на 2024–2027 роки, як елементу комплексного відновлення України.</w:t>
      </w:r>
    </w:p>
    <w:p w14:paraId="1E6DA8BB" w14:textId="68170AA9" w:rsidR="00EA1838" w:rsidRPr="00866276" w:rsidRDefault="005A679A" w:rsidP="00AE792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Питання «критичних мінералів» є актуальним для України, але більш важливим, особливо в умовах відновлення економічного потенціалу, є питання стратегічних корисних копалин. </w:t>
      </w:r>
    </w:p>
    <w:p w14:paraId="5700F1ED" w14:textId="009A2392" w:rsidR="000E1BD5" w:rsidRPr="00866276" w:rsidRDefault="00AE7924" w:rsidP="00AE79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C</w:t>
      </w:r>
      <w:proofErr w:type="spellStart"/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тратегічні</w:t>
      </w:r>
      <w:proofErr w:type="spellEnd"/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корисні копалини врахову</w:t>
      </w:r>
      <w:r w:rsidR="008F4DDB"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ють</w:t>
      </w:r>
      <w:r w:rsidRPr="0086627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ступені критичності які є складовими головних критеріїв для виділення стратегічно важливих корисних копалин а саме, формування валового національного продукту, обсяг валютних надходжень від експорту, вплив на стабільність національної валюти, кон’юнктура на внутрішньому та світовому ринках, потреба у відповідній сировині якої критично мало, забезпечення сталого розвитку економіки та інноваційно-технологічного устрою, важливість для забезпечення обороноздатності держави.</w:t>
      </w:r>
    </w:p>
    <w:p w14:paraId="6FC08BAD" w14:textId="21F015E2" w:rsidR="00EA1838" w:rsidRPr="00866276" w:rsidRDefault="005A679A" w:rsidP="00EA18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Близько 100 </w:t>
      </w:r>
      <w:proofErr w:type="spellStart"/>
      <w:r w:rsidRPr="0086627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незаліцензованих</w:t>
      </w:r>
      <w:proofErr w:type="spellEnd"/>
      <w:r w:rsidRPr="0086627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ділянок надр найбільш затребуваних мінералів, можуть бути номіновані на відкриті аукціони або міжнародні конкурси</w:t>
      </w:r>
      <w:r w:rsidR="00EA1838" w:rsidRPr="00866276">
        <w:rPr>
          <w:rFonts w:ascii="Times New Roman" w:hAnsi="Times New Roman" w:cs="Times New Roman"/>
          <w:sz w:val="28"/>
          <w:szCs w:val="28"/>
          <w:lang w:val="uk-UA"/>
        </w:rPr>
        <w:t>, відповідно до переліку, визначеного постановою Кабінету Міністрів України від 14</w:t>
      </w:r>
      <w:r w:rsidR="005C2017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EA1838" w:rsidRPr="008662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077A38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A1838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№ 132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продукції». </w:t>
      </w:r>
    </w:p>
    <w:p w14:paraId="0BAA8A45" w14:textId="229DDE34" w:rsidR="00EA1838" w:rsidRPr="00866276" w:rsidRDefault="00EA1838" w:rsidP="00EA18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Водночас, відповідний перелік ділянок надр (родовищ корисних копалин) для аукціонів з продажу спеціальних дозволів на користування надрами з метою </w:t>
      </w:r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потреб національної економіки стратегічно важливою сировиною, захисту національних інтересів в економічній сфері та підвищення рівня обороноздатності держави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, залишається незатвердженим.</w:t>
      </w:r>
    </w:p>
    <w:p w14:paraId="158037F4" w14:textId="77777777" w:rsidR="00EA1838" w:rsidRPr="00866276" w:rsidRDefault="00EA1838" w:rsidP="006158BD">
      <w:pPr>
        <w:pStyle w:val="3"/>
        <w:spacing w:before="0" w:after="0" w:line="240" w:lineRule="auto"/>
        <w:ind w:right="140" w:firstLine="584"/>
        <w:rPr>
          <w:rStyle w:val="rvts9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4BBF1" w14:textId="5C070CBB" w:rsidR="00254636" w:rsidRPr="00866276" w:rsidRDefault="00254636" w:rsidP="006158BD">
      <w:pPr>
        <w:pStyle w:val="3"/>
        <w:spacing w:before="0" w:after="0" w:line="240" w:lineRule="auto"/>
        <w:ind w:right="140" w:firstLine="584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Style w:val="rvts9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Основні положення проєкту </w:t>
      </w:r>
      <w:proofErr w:type="spellStart"/>
      <w:r w:rsidRPr="00866276">
        <w:rPr>
          <w:rStyle w:val="rvts9"/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0D6AFEBF" w14:textId="321E8E87" w:rsidR="00254636" w:rsidRPr="00866276" w:rsidRDefault="00254636" w:rsidP="00733A8C">
      <w:pPr>
        <w:pStyle w:val="rvps2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n3491"/>
      <w:bookmarkEnd w:id="3"/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затвердити </w:t>
      </w:r>
      <w:r w:rsidRPr="00866276">
        <w:rPr>
          <w:rFonts w:ascii="Times New Roman" w:hAnsi="Times New Roman" w:cs="Times New Roman"/>
          <w:bCs/>
          <w:sz w:val="28"/>
          <w:szCs w:val="28"/>
          <w:lang w:val="uk-U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</w:t>
      </w:r>
      <w:r w:rsidR="00966793" w:rsidRPr="008662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321D908" w14:textId="77777777" w:rsidR="008767A9" w:rsidRPr="00866276" w:rsidRDefault="008767A9" w:rsidP="00733A8C">
      <w:pPr>
        <w:pStyle w:val="rvps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віднесення родовища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</w:t>
      </w:r>
      <w:r w:rsidR="00BF3C09" w:rsidRPr="00866276">
        <w:rPr>
          <w:rFonts w:ascii="Times New Roman" w:hAnsi="Times New Roman" w:cs="Times New Roman"/>
          <w:sz w:val="28"/>
          <w:szCs w:val="28"/>
          <w:lang w:val="uk-UA"/>
        </w:rPr>
        <w:t>Пійло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3C09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яке є окремим родовищем Калуш-</w:t>
      </w:r>
      <w:proofErr w:type="spellStart"/>
      <w:r w:rsidR="00BF3C09" w:rsidRPr="00866276">
        <w:rPr>
          <w:rFonts w:ascii="Times New Roman" w:hAnsi="Times New Roman" w:cs="Times New Roman"/>
          <w:sz w:val="28"/>
          <w:szCs w:val="28"/>
          <w:lang w:val="uk-UA"/>
        </w:rPr>
        <w:t>Голинської</w:t>
      </w:r>
      <w:proofErr w:type="spellEnd"/>
      <w:r w:rsidR="00BF3C09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групи родовищ калійних солей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та передбачає традиційну розробку калійних солей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,</w:t>
      </w:r>
      <w:r w:rsidR="00BF3C09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lastRenderedPageBreak/>
        <w:t>користування шляхом проведення аукціонів з продажу спеціальних дозволів на користування надрами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.</w:t>
      </w:r>
    </w:p>
    <w:p w14:paraId="045F7250" w14:textId="264F8E1F" w:rsidR="00850231" w:rsidRPr="00866276" w:rsidRDefault="008767A9" w:rsidP="00733A8C">
      <w:pPr>
        <w:pStyle w:val="rvps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</w:pP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Н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атомість</w:t>
      </w:r>
      <w:r w:rsidR="00850231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родовище </w:t>
      </w:r>
      <w:proofErr w:type="spellStart"/>
      <w:r w:rsidR="00850231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Домброво</w:t>
      </w:r>
      <w:proofErr w:type="spellEnd"/>
      <w:r w:rsidR="00850231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віднес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ено</w:t>
      </w:r>
      <w:r w:rsidR="00850231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</w:t>
      </w:r>
      <w:r w:rsidR="00BF3C09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ння угод про розподіл продукції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, що передбачено </w:t>
      </w:r>
      <w:proofErr w:type="spellStart"/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проєктом</w:t>
      </w:r>
      <w:proofErr w:type="spellEnd"/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продукції», який пройшов процедуру погодження проєкту </w:t>
      </w:r>
      <w:proofErr w:type="spellStart"/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акта</w:t>
      </w:r>
      <w:proofErr w:type="spellEnd"/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Кабінету Міністрів України, передбачену Регламентом Кабінету Міністрів України, затвердженим постановою Кабінету Міністрів України від 18</w:t>
      </w:r>
      <w:r w:rsidR="005C2017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липня 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2007</w:t>
      </w:r>
      <w:r w:rsidR="00077A38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р.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№ 950 (у редакції постанови Кабінету Міністрів України від 09</w:t>
      </w:r>
      <w:r w:rsidR="00236027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листопада 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2011</w:t>
      </w:r>
      <w:r w:rsidR="00077A38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р.</w:t>
      </w:r>
      <w:r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 xml:space="preserve"> № 1156)</w:t>
      </w:r>
      <w:r w:rsidR="0003655C" w:rsidRPr="00866276">
        <w:rPr>
          <w:rFonts w:ascii="Times New Roman" w:hAnsi="Times New Roman" w:cs="Times New Roman"/>
          <w:iCs/>
          <w:sz w:val="28"/>
          <w:szCs w:val="28"/>
          <w:lang w:val="uk-UA"/>
          <w14:ligatures w14:val="standardContextual"/>
        </w:rPr>
        <w:t>, та готується для внесення на розгляд Уряду.</w:t>
      </w:r>
    </w:p>
    <w:p w14:paraId="5CBB91F8" w14:textId="77777777" w:rsidR="00254636" w:rsidRPr="00866276" w:rsidRDefault="00254636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</w:p>
    <w:p w14:paraId="22DBB3DB" w14:textId="77777777" w:rsidR="00254636" w:rsidRPr="00866276" w:rsidRDefault="00254636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Правові аспекти</w:t>
      </w:r>
      <w:bookmarkStart w:id="4" w:name="_GoBack"/>
      <w:bookmarkEnd w:id="4"/>
    </w:p>
    <w:p w14:paraId="618FAD73" w14:textId="77777777" w:rsidR="00B663E8" w:rsidRPr="00866276" w:rsidRDefault="00B663E8" w:rsidP="00B663E8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Кодекс України про надра;</w:t>
      </w:r>
    </w:p>
    <w:p w14:paraId="5FFE0D43" w14:textId="77777777" w:rsidR="00B663E8" w:rsidRPr="00866276" w:rsidRDefault="00B663E8" w:rsidP="00B663E8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23 вересня 2020 р. № 993 «Про затвердження Порядку проведення аукціонів з продажу спеціальних дозволів на користування надрами»;</w:t>
      </w:r>
    </w:p>
    <w:p w14:paraId="304FA02D" w14:textId="4227D8EB" w:rsidR="00966793" w:rsidRPr="00866276" w:rsidRDefault="00254636" w:rsidP="00B663E8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Рішення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введене в дію  Указом Президента України</w:t>
      </w:r>
      <w:r w:rsidR="008C62BC" w:rsidRPr="00866276">
        <w:rPr>
          <w:rFonts w:ascii="Times New Roman" w:hAnsi="Times New Roman" w:cs="Times New Roman"/>
          <w:sz w:val="28"/>
          <w:szCs w:val="28"/>
          <w:lang w:val="uk-UA"/>
        </w:rPr>
        <w:br/>
      </w:r>
      <w:r w:rsidR="00B663E8" w:rsidRPr="00866276">
        <w:rPr>
          <w:rFonts w:ascii="Times New Roman" w:hAnsi="Times New Roman" w:cs="Times New Roman"/>
          <w:sz w:val="28"/>
          <w:szCs w:val="28"/>
          <w:lang w:val="uk-UA"/>
        </w:rPr>
        <w:t>від 23 липня 2021 р. № 306.</w:t>
      </w:r>
    </w:p>
    <w:p w14:paraId="79C0BA35" w14:textId="77777777" w:rsidR="00751EE9" w:rsidRPr="00866276" w:rsidRDefault="00751EE9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4779D" w14:textId="77777777" w:rsidR="00254636" w:rsidRPr="00866276" w:rsidRDefault="00254636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Фінансово-економічне обґрунтування </w:t>
      </w:r>
    </w:p>
    <w:p w14:paraId="335DC5AF" w14:textId="77777777" w:rsidR="00682328" w:rsidRPr="00866276" w:rsidRDefault="00254636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додаткового фінансування з державного чи місцевих бюджетів.</w:t>
      </w:r>
    </w:p>
    <w:p w14:paraId="2F75A9F6" w14:textId="77777777" w:rsidR="00682328" w:rsidRPr="00866276" w:rsidRDefault="00682328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5FE9C" w14:textId="77777777" w:rsidR="00254636" w:rsidRPr="00866276" w:rsidRDefault="00254636" w:rsidP="006158BD">
      <w:pPr>
        <w:pStyle w:val="rvps2"/>
        <w:spacing w:before="0"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b/>
          <w:sz w:val="28"/>
          <w:szCs w:val="28"/>
          <w:lang w:val="uk-UA"/>
        </w:rPr>
        <w:t>Позиція заінтересованих сторін</w:t>
      </w:r>
    </w:p>
    <w:p w14:paraId="11058203" w14:textId="77777777" w:rsidR="008E5F48" w:rsidRPr="00866276" w:rsidRDefault="00254636" w:rsidP="006158B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забезпечення громадського обговорення розміщено на офіційному веб-сайті Держгеонадр </w:t>
      </w:r>
      <w:hyperlink r:id="rId7" w:history="1">
        <w:r w:rsidRPr="008662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>http://www.geo.gov.ua/</w:t>
        </w:r>
      </w:hyperlink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B5970AD" w14:textId="77777777" w:rsidR="00335A4A" w:rsidRPr="00866276" w:rsidRDefault="00254636" w:rsidP="006158B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питань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та, відповідно,</w:t>
      </w:r>
      <w:r w:rsidR="00D374EC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</w:t>
      </w:r>
      <w:r w:rsidR="000017F7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потребується.</w:t>
      </w:r>
    </w:p>
    <w:p w14:paraId="5144708B" w14:textId="77777777" w:rsidR="004129D5" w:rsidRPr="00866276" w:rsidRDefault="00254636" w:rsidP="006158B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Проєкт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 та не потребує</w:t>
      </w:r>
      <w:r w:rsidR="001A408D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розгляду </w:t>
      </w:r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</w:t>
      </w:r>
      <w:r w:rsidR="004129D5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 </w:t>
      </w:r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</w:t>
      </w:r>
      <w:r w:rsidR="004129D5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</w:t>
      </w:r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Національної ради з питань розвитку науки і технологій.</w:t>
      </w:r>
    </w:p>
    <w:p w14:paraId="499E5A37" w14:textId="77777777" w:rsidR="004129D5" w:rsidRPr="00866276" w:rsidRDefault="004129D5" w:rsidP="006158B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F7C207" w14:textId="77777777" w:rsidR="00254636" w:rsidRPr="00866276" w:rsidRDefault="00254636" w:rsidP="006158B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6DDB5C69" w14:textId="77777777" w:rsidR="00C61451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</w:t>
      </w:r>
    </w:p>
    <w:p w14:paraId="13750821" w14:textId="77777777" w:rsidR="00C61451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14:paraId="0BC5A7B1" w14:textId="77777777" w:rsidR="00C61451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38BEF2A4" w14:textId="77777777" w:rsidR="00C61451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106F400B" w14:textId="7FD739DB" w:rsidR="00C61451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16F89DE5" w14:textId="77777777" w:rsidR="00C61451" w:rsidRPr="00866276" w:rsidRDefault="00C61451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E20FF" w14:textId="77777777" w:rsidR="00254636" w:rsidRPr="00866276" w:rsidRDefault="00254636" w:rsidP="006158BD">
      <w:pPr>
        <w:spacing w:after="0" w:line="240" w:lineRule="auto"/>
        <w:ind w:left="95" w:right="140" w:firstLine="4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30D4C96E" w14:textId="77777777" w:rsidR="00036024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Очіку</w:t>
      </w:r>
      <w:r w:rsidR="00C61451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ваний вплив реалізації </w:t>
      </w:r>
      <w:proofErr w:type="spellStart"/>
      <w:r w:rsidR="00C61451"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C61451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14:paraId="6E403EED" w14:textId="77777777" w:rsidR="0029329F" w:rsidRPr="00866276" w:rsidRDefault="00036024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ринкове середовище, забезпечення захисту прав та інтересів суб’єктів господарювання, громадян і держави: прийняття проєкту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4636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забезпечить створення прозорих механізмів отримання спеціальних дозволів на користування надрами, щ</w:t>
      </w:r>
      <w:r w:rsidR="00A01BD0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надаватимуться у користування </w:t>
      </w:r>
      <w:r w:rsidR="00254636" w:rsidRPr="008662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шляхом проведення аукціонів з продажу спеціальних дозволів на користування надрами, </w:t>
      </w:r>
      <w:r w:rsidR="00254636"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забезпечить </w:t>
      </w:r>
      <w:r w:rsidR="00254636" w:rsidRPr="00866276">
        <w:rPr>
          <w:rFonts w:ascii="Times New Roman" w:hAnsi="Times New Roman" w:cs="Times New Roman"/>
          <w:sz w:val="28"/>
          <w:szCs w:val="28"/>
          <w:lang w:val="uk-UA"/>
        </w:rPr>
        <w:t>підвищення інвестиційної привабливості видобувної галузі держ</w:t>
      </w:r>
      <w:r w:rsidR="00A01BD0" w:rsidRPr="00866276">
        <w:rPr>
          <w:rFonts w:ascii="Times New Roman" w:hAnsi="Times New Roman" w:cs="Times New Roman"/>
          <w:sz w:val="28"/>
          <w:szCs w:val="28"/>
          <w:lang w:val="uk-UA"/>
        </w:rPr>
        <w:t>ави;</w:t>
      </w:r>
    </w:p>
    <w:p w14:paraId="31BAEC41" w14:textId="77777777" w:rsidR="00A01BD0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14:paraId="6B0651A7" w14:textId="77777777" w:rsidR="00A01BD0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ринок праці, рівень зайнятості населення: не впливає;</w:t>
      </w:r>
    </w:p>
    <w:p w14:paraId="6C775DEA" w14:textId="77777777" w:rsidR="00A01BD0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>громадське здоров’я, покращення чи погіршення стану здоров’я населення або його окремих груп:</w:t>
      </w:r>
      <w:r w:rsidR="00A01BD0"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276">
        <w:rPr>
          <w:rFonts w:ascii="Times New Roman" w:hAnsi="Times New Roman" w:cs="Times New Roman"/>
          <w:sz w:val="28"/>
          <w:szCs w:val="28"/>
          <w:lang w:val="uk-UA"/>
        </w:rPr>
        <w:t>не впливає;</w:t>
      </w:r>
    </w:p>
    <w:p w14:paraId="3A5AC9BA" w14:textId="77777777" w:rsidR="00A01BD0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</w:t>
      </w:r>
      <w:r w:rsidR="00A01BD0" w:rsidRPr="00866276">
        <w:rPr>
          <w:rFonts w:ascii="Times New Roman" w:hAnsi="Times New Roman" w:cs="Times New Roman"/>
          <w:sz w:val="28"/>
          <w:szCs w:val="28"/>
          <w:lang w:val="uk-UA"/>
        </w:rPr>
        <w:t>не буде мати негативного впливу.</w:t>
      </w:r>
    </w:p>
    <w:p w14:paraId="47F9B7D1" w14:textId="77777777" w:rsidR="00A01BD0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27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hAnsi="Times New Roman" w:cs="Times New Roman"/>
          <w:sz w:val="28"/>
          <w:szCs w:val="28"/>
          <w:lang w:val="uk-UA"/>
        </w:rPr>
        <w:t xml:space="preserve"> є регуляторним актом.</w:t>
      </w:r>
    </w:p>
    <w:p w14:paraId="520D9F32" w14:textId="77777777" w:rsidR="00254636" w:rsidRPr="00866276" w:rsidRDefault="00254636" w:rsidP="006158BD">
      <w:pPr>
        <w:spacing w:after="0" w:line="240" w:lineRule="auto"/>
        <w:ind w:right="140" w:firstLine="5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 впливу реалізації проєкту </w:t>
      </w:r>
      <w:proofErr w:type="spellStart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66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ключові інтереси заінтересованих сторін:</w:t>
      </w:r>
    </w:p>
    <w:p w14:paraId="6FA12BEF" w14:textId="77777777" w:rsidR="0075662B" w:rsidRPr="00866276" w:rsidRDefault="0075662B" w:rsidP="006158BD">
      <w:pPr>
        <w:spacing w:after="0" w:line="240" w:lineRule="auto"/>
        <w:ind w:right="140" w:firstLine="5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3402"/>
        <w:gridCol w:w="3623"/>
      </w:tblGrid>
      <w:tr w:rsidR="00866276" w:rsidRPr="00866276" w14:paraId="6756E30E" w14:textId="7777777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69CF" w14:textId="77777777" w:rsidR="00254636" w:rsidRPr="00866276" w:rsidRDefault="00254636" w:rsidP="006158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AF8F2" w14:textId="77777777" w:rsidR="00254636" w:rsidRPr="00866276" w:rsidRDefault="00254636" w:rsidP="006158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Вплив реалізації </w:t>
            </w:r>
            <w:proofErr w:type="spellStart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5873" w14:textId="77777777" w:rsidR="00254636" w:rsidRPr="00866276" w:rsidRDefault="00254636" w:rsidP="006158BD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Пояснення очікуваного впливу</w:t>
            </w:r>
          </w:p>
        </w:tc>
      </w:tr>
      <w:tr w:rsidR="00866276" w:rsidRPr="00866276" w14:paraId="22C3251A" w14:textId="7777777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8188" w14:textId="77777777" w:rsidR="00254636" w:rsidRPr="00866276" w:rsidRDefault="00254636" w:rsidP="006158BD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Уповноважений орган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F208" w14:textId="77777777" w:rsidR="00254636" w:rsidRPr="00866276" w:rsidRDefault="00254636" w:rsidP="006C22EF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ахист національних інтересів в економічній сфері та підвищення рівня обороноздатності держави.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FC84" w14:textId="77777777" w:rsidR="00254636" w:rsidRPr="00866276" w:rsidRDefault="00254636" w:rsidP="006158B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забезпечить створення прозорих механізмів отримання спеціальних дозволів на користування надрами, що надаватимуться у </w:t>
            </w: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користування </w:t>
            </w:r>
            <w:r w:rsidRPr="00866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шляхом проведення аукціонів з продажу спеціальних дозволів на користування надрами</w:t>
            </w:r>
            <w:r w:rsidR="00960905" w:rsidRPr="00866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866276" w:rsidRPr="00866276" w14:paraId="2F17C7A0" w14:textId="7777777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256C" w14:textId="77777777" w:rsidR="00254636" w:rsidRPr="00866276" w:rsidRDefault="00254636" w:rsidP="006158BD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Суб’єкти господарювання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F64F1" w14:textId="77777777" w:rsidR="00254636" w:rsidRPr="00866276" w:rsidRDefault="00254636" w:rsidP="006158BD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Підвищення прозорості</w:t>
            </w:r>
            <w:r w:rsidR="00960905"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механізму отримання спеціальних дозволів на користування надрами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610B" w14:textId="77777777" w:rsidR="00254636" w:rsidRPr="00866276" w:rsidRDefault="00254636" w:rsidP="006158B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8662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забезпечить </w:t>
            </w:r>
            <w:r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інвестиційної</w:t>
            </w:r>
            <w:r w:rsidR="00960905"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привабливості</w:t>
            </w:r>
            <w:r w:rsidR="00960905"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сфери </w:t>
            </w:r>
            <w:proofErr w:type="spellStart"/>
            <w:r w:rsidR="00960905"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надрокористування</w:t>
            </w:r>
            <w:proofErr w:type="spellEnd"/>
            <w:r w:rsidR="00960905" w:rsidRPr="00866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3E521CCB" w14:textId="77777777" w:rsidR="00254636" w:rsidRPr="00866276" w:rsidRDefault="00254636" w:rsidP="006158B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275F26" w14:textId="77777777" w:rsidR="002A0E36" w:rsidRPr="00866276" w:rsidRDefault="002A0E36" w:rsidP="006158B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4F631F" w14:textId="77777777" w:rsidR="00DD7C9C" w:rsidRPr="00866276" w:rsidRDefault="00DD7C9C" w:rsidP="00A1503F">
      <w:pPr>
        <w:pStyle w:val="af0"/>
        <w:spacing w:before="0" w:beforeAutospacing="0" w:after="0"/>
        <w:jc w:val="both"/>
        <w:rPr>
          <w:b/>
          <w:sz w:val="28"/>
          <w:szCs w:val="28"/>
          <w:lang w:val="uk-UA" w:eastAsia="ru-RU"/>
        </w:rPr>
      </w:pPr>
      <w:r w:rsidRPr="00866276">
        <w:rPr>
          <w:b/>
          <w:sz w:val="28"/>
          <w:szCs w:val="28"/>
          <w:lang w:val="uk-UA" w:eastAsia="ru-RU"/>
        </w:rPr>
        <w:t>Голова Державної служби</w:t>
      </w:r>
    </w:p>
    <w:p w14:paraId="4DFC91A6" w14:textId="11AAC176" w:rsidR="002A0E36" w:rsidRPr="00866276" w:rsidRDefault="00DD7C9C" w:rsidP="00A1503F">
      <w:pPr>
        <w:pStyle w:val="af0"/>
        <w:spacing w:before="0" w:beforeAutospacing="0" w:after="0"/>
        <w:jc w:val="both"/>
        <w:rPr>
          <w:b/>
          <w:bCs/>
          <w:sz w:val="28"/>
          <w:szCs w:val="28"/>
          <w:lang w:val="uk-UA"/>
        </w:rPr>
      </w:pPr>
      <w:r w:rsidRPr="00866276">
        <w:rPr>
          <w:b/>
          <w:sz w:val="28"/>
          <w:szCs w:val="28"/>
          <w:lang w:val="uk-UA" w:eastAsia="ru-RU"/>
        </w:rPr>
        <w:t>геології та надр України</w:t>
      </w:r>
      <w:r w:rsidRPr="00866276">
        <w:rPr>
          <w:b/>
          <w:sz w:val="28"/>
          <w:szCs w:val="28"/>
          <w:lang w:val="uk-UA" w:eastAsia="ru-RU"/>
        </w:rPr>
        <w:tab/>
      </w:r>
      <w:r w:rsidRPr="00866276">
        <w:rPr>
          <w:b/>
          <w:sz w:val="28"/>
          <w:szCs w:val="28"/>
          <w:lang w:val="uk-UA" w:eastAsia="ru-RU"/>
        </w:rPr>
        <w:tab/>
      </w:r>
      <w:r w:rsidRPr="00866276">
        <w:rPr>
          <w:b/>
          <w:sz w:val="28"/>
          <w:szCs w:val="28"/>
          <w:lang w:val="uk-UA" w:eastAsia="ru-RU"/>
        </w:rPr>
        <w:tab/>
      </w:r>
      <w:r w:rsidRPr="00866276">
        <w:rPr>
          <w:b/>
          <w:sz w:val="28"/>
          <w:szCs w:val="28"/>
          <w:lang w:val="uk-UA" w:eastAsia="ru-RU"/>
        </w:rPr>
        <w:tab/>
      </w:r>
      <w:r w:rsidRPr="00866276">
        <w:rPr>
          <w:b/>
          <w:sz w:val="28"/>
          <w:szCs w:val="28"/>
          <w:lang w:val="uk-UA" w:eastAsia="ru-RU"/>
        </w:rPr>
        <w:tab/>
      </w:r>
      <w:r w:rsidRPr="00866276">
        <w:rPr>
          <w:b/>
          <w:sz w:val="28"/>
          <w:szCs w:val="28"/>
          <w:lang w:val="uk-UA" w:eastAsia="ru-RU"/>
        </w:rPr>
        <w:tab/>
        <w:t>Роман ОПІМАХ</w:t>
      </w:r>
    </w:p>
    <w:p w14:paraId="6D6C6F89" w14:textId="77777777" w:rsidR="002A0E36" w:rsidRPr="00866276" w:rsidRDefault="002A0E36" w:rsidP="002A0E36">
      <w:pPr>
        <w:pStyle w:val="af0"/>
        <w:spacing w:before="0" w:beforeAutospacing="0" w:after="0"/>
        <w:jc w:val="both"/>
        <w:rPr>
          <w:lang w:val="uk-UA"/>
        </w:rPr>
      </w:pPr>
    </w:p>
    <w:p w14:paraId="73FFB9A0" w14:textId="42FCD104" w:rsidR="002A0E36" w:rsidRPr="00866276" w:rsidRDefault="002A0E36" w:rsidP="002A0E36">
      <w:pPr>
        <w:pStyle w:val="af0"/>
        <w:spacing w:before="0" w:beforeAutospacing="0" w:after="0"/>
        <w:jc w:val="both"/>
        <w:rPr>
          <w:sz w:val="28"/>
          <w:szCs w:val="28"/>
          <w:lang w:val="uk-UA"/>
        </w:rPr>
      </w:pPr>
      <w:r w:rsidRPr="00866276">
        <w:rPr>
          <w:sz w:val="28"/>
          <w:szCs w:val="28"/>
          <w:lang w:val="uk-UA"/>
        </w:rPr>
        <w:t>___ _______________ 202</w:t>
      </w:r>
      <w:r w:rsidR="003B036A" w:rsidRPr="00866276">
        <w:rPr>
          <w:sz w:val="28"/>
          <w:szCs w:val="28"/>
          <w:lang w:val="uk-UA"/>
        </w:rPr>
        <w:t>4</w:t>
      </w:r>
      <w:r w:rsidRPr="00866276">
        <w:rPr>
          <w:sz w:val="28"/>
          <w:szCs w:val="28"/>
          <w:lang w:val="uk-UA"/>
        </w:rPr>
        <w:t xml:space="preserve"> р.</w:t>
      </w:r>
    </w:p>
    <w:p w14:paraId="288C10F2" w14:textId="77777777" w:rsidR="00C12ED1" w:rsidRPr="00866276" w:rsidRDefault="00C12ED1" w:rsidP="006158BD">
      <w:pPr>
        <w:suppressAutoHyphens w:val="0"/>
        <w:spacing w:after="0" w:line="240" w:lineRule="auto"/>
        <w:ind w:left="-142" w:right="14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sectPr w:rsidR="00C12ED1" w:rsidRPr="00866276" w:rsidSect="008C71D2">
      <w:headerReference w:type="default" r:id="rId8"/>
      <w:pgSz w:w="11906" w:h="16838"/>
      <w:pgMar w:top="851" w:right="567" w:bottom="568" w:left="1701" w:header="720" w:footer="720" w:gutter="0"/>
      <w:cols w:space="72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E8A11" w14:textId="77777777" w:rsidR="00BC75E2" w:rsidRDefault="00BC75E2">
      <w:pPr>
        <w:spacing w:after="0" w:line="240" w:lineRule="auto"/>
      </w:pPr>
      <w:r>
        <w:separator/>
      </w:r>
    </w:p>
  </w:endnote>
  <w:endnote w:type="continuationSeparator" w:id="0">
    <w:p w14:paraId="12B15D03" w14:textId="77777777" w:rsidR="00BC75E2" w:rsidRDefault="00BC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4890" w14:textId="77777777" w:rsidR="00BC75E2" w:rsidRDefault="00BC75E2">
      <w:pPr>
        <w:spacing w:after="0" w:line="240" w:lineRule="auto"/>
      </w:pPr>
      <w:r>
        <w:separator/>
      </w:r>
    </w:p>
  </w:footnote>
  <w:footnote w:type="continuationSeparator" w:id="0">
    <w:p w14:paraId="70180BCA" w14:textId="77777777" w:rsidR="00BC75E2" w:rsidRDefault="00BC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8877" w14:textId="48C68BEB" w:rsidR="00254636" w:rsidRDefault="00165ABF" w:rsidP="00866276">
    <w:pPr>
      <w:pStyle w:val="ad"/>
      <w:jc w:val="center"/>
    </w:pPr>
    <w:r>
      <w:fldChar w:fldCharType="begin"/>
    </w:r>
    <w:r w:rsidR="00103415">
      <w:instrText>PAGE   \* MERGEFORMAT</w:instrText>
    </w:r>
    <w:r>
      <w:fldChar w:fldCharType="separate"/>
    </w:r>
    <w:r w:rsidR="00733A8C" w:rsidRPr="00733A8C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26"/>
    <w:rsid w:val="000017F7"/>
    <w:rsid w:val="00027BF9"/>
    <w:rsid w:val="00031826"/>
    <w:rsid w:val="00034FB8"/>
    <w:rsid w:val="00036024"/>
    <w:rsid w:val="0003655C"/>
    <w:rsid w:val="00076D94"/>
    <w:rsid w:val="00077A38"/>
    <w:rsid w:val="00090847"/>
    <w:rsid w:val="000953C9"/>
    <w:rsid w:val="000C522F"/>
    <w:rsid w:val="000D4963"/>
    <w:rsid w:val="000D4E5D"/>
    <w:rsid w:val="000E105E"/>
    <w:rsid w:val="000E1BD5"/>
    <w:rsid w:val="000F245C"/>
    <w:rsid w:val="000F3B8D"/>
    <w:rsid w:val="000F5ECF"/>
    <w:rsid w:val="00103415"/>
    <w:rsid w:val="0011057A"/>
    <w:rsid w:val="00114453"/>
    <w:rsid w:val="00116DA9"/>
    <w:rsid w:val="00136463"/>
    <w:rsid w:val="00147D10"/>
    <w:rsid w:val="0016474B"/>
    <w:rsid w:val="00165ABF"/>
    <w:rsid w:val="00183473"/>
    <w:rsid w:val="0019680B"/>
    <w:rsid w:val="001A408D"/>
    <w:rsid w:val="001C3637"/>
    <w:rsid w:val="001D3B79"/>
    <w:rsid w:val="001E5492"/>
    <w:rsid w:val="00212BFF"/>
    <w:rsid w:val="00234D92"/>
    <w:rsid w:val="00236027"/>
    <w:rsid w:val="00243EF3"/>
    <w:rsid w:val="00254636"/>
    <w:rsid w:val="00274476"/>
    <w:rsid w:val="002820CC"/>
    <w:rsid w:val="0029329F"/>
    <w:rsid w:val="00296DEE"/>
    <w:rsid w:val="002A0E36"/>
    <w:rsid w:val="002A1388"/>
    <w:rsid w:val="002D5C6F"/>
    <w:rsid w:val="002E4E06"/>
    <w:rsid w:val="002E6065"/>
    <w:rsid w:val="002F6FE9"/>
    <w:rsid w:val="0033395F"/>
    <w:rsid w:val="00335A4A"/>
    <w:rsid w:val="003B036A"/>
    <w:rsid w:val="003C4696"/>
    <w:rsid w:val="003D1AD9"/>
    <w:rsid w:val="003D526A"/>
    <w:rsid w:val="003E08D0"/>
    <w:rsid w:val="003E48C1"/>
    <w:rsid w:val="003F1F3F"/>
    <w:rsid w:val="004129D5"/>
    <w:rsid w:val="00417CDF"/>
    <w:rsid w:val="004368A7"/>
    <w:rsid w:val="00464053"/>
    <w:rsid w:val="0049325E"/>
    <w:rsid w:val="004A0360"/>
    <w:rsid w:val="004B7B2A"/>
    <w:rsid w:val="004C1051"/>
    <w:rsid w:val="004C6DBA"/>
    <w:rsid w:val="004D24F5"/>
    <w:rsid w:val="00503B7C"/>
    <w:rsid w:val="00506410"/>
    <w:rsid w:val="00512623"/>
    <w:rsid w:val="005208F3"/>
    <w:rsid w:val="005A04C9"/>
    <w:rsid w:val="005A679A"/>
    <w:rsid w:val="005C2017"/>
    <w:rsid w:val="00605E09"/>
    <w:rsid w:val="006138A1"/>
    <w:rsid w:val="006158BD"/>
    <w:rsid w:val="00624DEA"/>
    <w:rsid w:val="00682328"/>
    <w:rsid w:val="0068456F"/>
    <w:rsid w:val="0068540D"/>
    <w:rsid w:val="00687651"/>
    <w:rsid w:val="006A37D5"/>
    <w:rsid w:val="006C22EF"/>
    <w:rsid w:val="006D7843"/>
    <w:rsid w:val="006E1230"/>
    <w:rsid w:val="00727022"/>
    <w:rsid w:val="00733A8C"/>
    <w:rsid w:val="00740808"/>
    <w:rsid w:val="007445B0"/>
    <w:rsid w:val="00751EE9"/>
    <w:rsid w:val="0075662B"/>
    <w:rsid w:val="007575C6"/>
    <w:rsid w:val="00757BB4"/>
    <w:rsid w:val="00765E37"/>
    <w:rsid w:val="00772ECA"/>
    <w:rsid w:val="00787D18"/>
    <w:rsid w:val="007B0D21"/>
    <w:rsid w:val="007E66FE"/>
    <w:rsid w:val="007F6372"/>
    <w:rsid w:val="007F76DB"/>
    <w:rsid w:val="00805672"/>
    <w:rsid w:val="00850231"/>
    <w:rsid w:val="00866276"/>
    <w:rsid w:val="008767A9"/>
    <w:rsid w:val="00882791"/>
    <w:rsid w:val="008C0C3F"/>
    <w:rsid w:val="008C62BC"/>
    <w:rsid w:val="008C71D2"/>
    <w:rsid w:val="008E5F48"/>
    <w:rsid w:val="008F4DDB"/>
    <w:rsid w:val="0091355A"/>
    <w:rsid w:val="009164F9"/>
    <w:rsid w:val="00924D8C"/>
    <w:rsid w:val="00927447"/>
    <w:rsid w:val="009362E6"/>
    <w:rsid w:val="0095104A"/>
    <w:rsid w:val="00957A36"/>
    <w:rsid w:val="00960905"/>
    <w:rsid w:val="00966793"/>
    <w:rsid w:val="00967BF4"/>
    <w:rsid w:val="0097254F"/>
    <w:rsid w:val="00973561"/>
    <w:rsid w:val="00990845"/>
    <w:rsid w:val="009A256C"/>
    <w:rsid w:val="009C0B16"/>
    <w:rsid w:val="009D74C2"/>
    <w:rsid w:val="009F0BD4"/>
    <w:rsid w:val="009F1401"/>
    <w:rsid w:val="00A01BD0"/>
    <w:rsid w:val="00A140E7"/>
    <w:rsid w:val="00A1503F"/>
    <w:rsid w:val="00A17E86"/>
    <w:rsid w:val="00A21806"/>
    <w:rsid w:val="00A61AF0"/>
    <w:rsid w:val="00A73522"/>
    <w:rsid w:val="00A92635"/>
    <w:rsid w:val="00AA6116"/>
    <w:rsid w:val="00AA62EA"/>
    <w:rsid w:val="00AD52FE"/>
    <w:rsid w:val="00AE7924"/>
    <w:rsid w:val="00B01882"/>
    <w:rsid w:val="00B0248D"/>
    <w:rsid w:val="00B663E8"/>
    <w:rsid w:val="00B67908"/>
    <w:rsid w:val="00B76E71"/>
    <w:rsid w:val="00B95C80"/>
    <w:rsid w:val="00B97CBB"/>
    <w:rsid w:val="00BC75E2"/>
    <w:rsid w:val="00BD7D43"/>
    <w:rsid w:val="00BF270F"/>
    <w:rsid w:val="00BF3C09"/>
    <w:rsid w:val="00C12ED1"/>
    <w:rsid w:val="00C2293D"/>
    <w:rsid w:val="00C25001"/>
    <w:rsid w:val="00C4129F"/>
    <w:rsid w:val="00C441AA"/>
    <w:rsid w:val="00C61451"/>
    <w:rsid w:val="00C75609"/>
    <w:rsid w:val="00CA4E2E"/>
    <w:rsid w:val="00CC132B"/>
    <w:rsid w:val="00CC3970"/>
    <w:rsid w:val="00CD5137"/>
    <w:rsid w:val="00CE336B"/>
    <w:rsid w:val="00D15D58"/>
    <w:rsid w:val="00D34BF2"/>
    <w:rsid w:val="00D374EC"/>
    <w:rsid w:val="00D90444"/>
    <w:rsid w:val="00DD7C9C"/>
    <w:rsid w:val="00DF08B2"/>
    <w:rsid w:val="00DF5D8A"/>
    <w:rsid w:val="00E40A95"/>
    <w:rsid w:val="00E50926"/>
    <w:rsid w:val="00E66996"/>
    <w:rsid w:val="00E77707"/>
    <w:rsid w:val="00E95CEA"/>
    <w:rsid w:val="00E97DC0"/>
    <w:rsid w:val="00EA1838"/>
    <w:rsid w:val="00EB7410"/>
    <w:rsid w:val="00EE5D00"/>
    <w:rsid w:val="00F00635"/>
    <w:rsid w:val="00F42516"/>
    <w:rsid w:val="00F4524B"/>
    <w:rsid w:val="00F66B24"/>
    <w:rsid w:val="00F95E26"/>
    <w:rsid w:val="00FA1007"/>
    <w:rsid w:val="00FA15B6"/>
    <w:rsid w:val="00FB1D81"/>
    <w:rsid w:val="00FB280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B829DD"/>
  <w15:docId w15:val="{BD795331-6F87-4557-9EC9-B0EE93CD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uppressAutoHyphens/>
      <w:spacing w:after="16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1">
    <w:name w:val="heading 1"/>
    <w:next w:val="a0"/>
    <w:qFormat/>
    <w:rsid w:val="006D7843"/>
    <w:pPr>
      <w:widowControl w:val="0"/>
      <w:numPr>
        <w:numId w:val="1"/>
      </w:numPr>
      <w:suppressAutoHyphens/>
      <w:outlineLvl w:val="0"/>
    </w:pPr>
    <w:rPr>
      <w:rFonts w:eastAsia="SimSun" w:cs="Ari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D7843"/>
  </w:style>
  <w:style w:type="character" w:customStyle="1" w:styleId="WW8Num1z0">
    <w:name w:val="WW8Num1z0"/>
    <w:rsid w:val="006D7843"/>
  </w:style>
  <w:style w:type="character" w:customStyle="1" w:styleId="WW8Num1z1">
    <w:name w:val="WW8Num1z1"/>
    <w:rsid w:val="006D7843"/>
  </w:style>
  <w:style w:type="character" w:customStyle="1" w:styleId="WW8Num1z2">
    <w:name w:val="WW8Num1z2"/>
    <w:rsid w:val="006D7843"/>
  </w:style>
  <w:style w:type="character" w:customStyle="1" w:styleId="WW8Num1z3">
    <w:name w:val="WW8Num1z3"/>
    <w:rsid w:val="006D7843"/>
  </w:style>
  <w:style w:type="character" w:customStyle="1" w:styleId="WW8Num1z4">
    <w:name w:val="WW8Num1z4"/>
    <w:rsid w:val="006D7843"/>
  </w:style>
  <w:style w:type="character" w:customStyle="1" w:styleId="WW8Num1z5">
    <w:name w:val="WW8Num1z5"/>
    <w:rsid w:val="006D7843"/>
  </w:style>
  <w:style w:type="character" w:customStyle="1" w:styleId="WW8Num1z6">
    <w:name w:val="WW8Num1z6"/>
    <w:rsid w:val="006D7843"/>
  </w:style>
  <w:style w:type="character" w:customStyle="1" w:styleId="WW8Num1z7">
    <w:name w:val="WW8Num1z7"/>
    <w:rsid w:val="006D7843"/>
  </w:style>
  <w:style w:type="character" w:customStyle="1" w:styleId="WW8Num1z8">
    <w:name w:val="WW8Num1z8"/>
    <w:rsid w:val="006D7843"/>
  </w:style>
  <w:style w:type="character" w:customStyle="1" w:styleId="WW8Num2z0">
    <w:name w:val="WW8Num2z0"/>
    <w:rsid w:val="006D7843"/>
  </w:style>
  <w:style w:type="character" w:customStyle="1" w:styleId="WW8Num2z1">
    <w:name w:val="WW8Num2z1"/>
    <w:rsid w:val="006D7843"/>
  </w:style>
  <w:style w:type="character" w:customStyle="1" w:styleId="WW8Num2z2">
    <w:name w:val="WW8Num2z2"/>
    <w:rsid w:val="006D7843"/>
  </w:style>
  <w:style w:type="character" w:customStyle="1" w:styleId="WW8Num2z3">
    <w:name w:val="WW8Num2z3"/>
    <w:rsid w:val="006D7843"/>
  </w:style>
  <w:style w:type="character" w:customStyle="1" w:styleId="WW8Num2z4">
    <w:name w:val="WW8Num2z4"/>
    <w:rsid w:val="006D7843"/>
  </w:style>
  <w:style w:type="character" w:customStyle="1" w:styleId="WW8Num2z5">
    <w:name w:val="WW8Num2z5"/>
    <w:rsid w:val="006D7843"/>
  </w:style>
  <w:style w:type="character" w:customStyle="1" w:styleId="WW8Num2z6">
    <w:name w:val="WW8Num2z6"/>
    <w:rsid w:val="006D7843"/>
  </w:style>
  <w:style w:type="character" w:customStyle="1" w:styleId="WW8Num2z7">
    <w:name w:val="WW8Num2z7"/>
    <w:rsid w:val="006D7843"/>
  </w:style>
  <w:style w:type="character" w:customStyle="1" w:styleId="WW8Num2z8">
    <w:name w:val="WW8Num2z8"/>
    <w:rsid w:val="006D7843"/>
  </w:style>
  <w:style w:type="character" w:styleId="a4">
    <w:name w:val="Hyperlink"/>
    <w:rsid w:val="006D7843"/>
    <w:rPr>
      <w:color w:val="000080"/>
      <w:u w:val="single"/>
    </w:rPr>
  </w:style>
  <w:style w:type="character" w:styleId="a5">
    <w:name w:val="Strong"/>
    <w:qFormat/>
    <w:rsid w:val="006D7843"/>
    <w:rPr>
      <w:b/>
      <w:bCs/>
    </w:rPr>
  </w:style>
  <w:style w:type="character" w:styleId="a6">
    <w:name w:val="Emphasis"/>
    <w:uiPriority w:val="20"/>
    <w:qFormat/>
    <w:rsid w:val="006D7843"/>
    <w:rPr>
      <w:i/>
      <w:iCs/>
    </w:rPr>
  </w:style>
  <w:style w:type="character" w:customStyle="1" w:styleId="WW8Num3z0">
    <w:name w:val="WW8Num3z0"/>
    <w:rsid w:val="006D7843"/>
  </w:style>
  <w:style w:type="character" w:customStyle="1" w:styleId="WW8Num3z1">
    <w:name w:val="WW8Num3z1"/>
    <w:rsid w:val="006D7843"/>
  </w:style>
  <w:style w:type="character" w:customStyle="1" w:styleId="WW8Num3z2">
    <w:name w:val="WW8Num3z2"/>
    <w:rsid w:val="006D7843"/>
  </w:style>
  <w:style w:type="character" w:customStyle="1" w:styleId="WW8Num3z3">
    <w:name w:val="WW8Num3z3"/>
    <w:rsid w:val="006D7843"/>
  </w:style>
  <w:style w:type="character" w:customStyle="1" w:styleId="WW8Num3z4">
    <w:name w:val="WW8Num3z4"/>
    <w:rsid w:val="006D7843"/>
  </w:style>
  <w:style w:type="character" w:customStyle="1" w:styleId="WW8Num3z5">
    <w:name w:val="WW8Num3z5"/>
    <w:rsid w:val="006D7843"/>
  </w:style>
  <w:style w:type="character" w:customStyle="1" w:styleId="WW8Num3z6">
    <w:name w:val="WW8Num3z6"/>
    <w:rsid w:val="006D7843"/>
  </w:style>
  <w:style w:type="character" w:customStyle="1" w:styleId="WW8Num3z7">
    <w:name w:val="WW8Num3z7"/>
    <w:rsid w:val="006D7843"/>
  </w:style>
  <w:style w:type="character" w:customStyle="1" w:styleId="WW8Num3z8">
    <w:name w:val="WW8Num3z8"/>
    <w:rsid w:val="006D7843"/>
  </w:style>
  <w:style w:type="character" w:customStyle="1" w:styleId="rvts9">
    <w:name w:val="rvts9"/>
    <w:rsid w:val="006D7843"/>
  </w:style>
  <w:style w:type="character" w:customStyle="1" w:styleId="a7">
    <w:name w:val="Нижний колонтитул Знак"/>
    <w:rsid w:val="006D7843"/>
    <w:rPr>
      <w:rFonts w:eastAsia="Andale Sans UI"/>
      <w:kern w:val="1"/>
      <w:sz w:val="24"/>
      <w:szCs w:val="24"/>
    </w:rPr>
  </w:style>
  <w:style w:type="character" w:customStyle="1" w:styleId="a8">
    <w:name w:val="Верхний колонтитул Знак"/>
    <w:uiPriority w:val="99"/>
    <w:rsid w:val="006D7843"/>
    <w:rPr>
      <w:rFonts w:eastAsia="Andale Sans UI"/>
      <w:kern w:val="1"/>
      <w:sz w:val="24"/>
      <w:szCs w:val="24"/>
    </w:rPr>
  </w:style>
  <w:style w:type="character" w:customStyle="1" w:styleId="a9">
    <w:name w:val="Текст выноски Знак"/>
    <w:rsid w:val="006D7843"/>
    <w:rPr>
      <w:rFonts w:ascii="Segoe UI" w:eastAsia="Andale Sans UI" w:hAnsi="Segoe UI" w:cs="Segoe UI"/>
      <w:kern w:val="1"/>
      <w:sz w:val="18"/>
      <w:szCs w:val="18"/>
    </w:rPr>
  </w:style>
  <w:style w:type="paragraph" w:customStyle="1" w:styleId="2">
    <w:name w:val="Заголовок2"/>
    <w:basedOn w:val="a"/>
    <w:next w:val="a0"/>
    <w:rsid w:val="006D78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6D7843"/>
    <w:pPr>
      <w:spacing w:after="120"/>
    </w:pPr>
  </w:style>
  <w:style w:type="paragraph" w:styleId="aa">
    <w:name w:val="List"/>
    <w:basedOn w:val="a0"/>
    <w:rsid w:val="006D7843"/>
    <w:rPr>
      <w:rFonts w:cs="Tahoma"/>
    </w:rPr>
  </w:style>
  <w:style w:type="paragraph" w:customStyle="1" w:styleId="11">
    <w:name w:val="Название1"/>
    <w:basedOn w:val="a"/>
    <w:rsid w:val="006D78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6D7843"/>
    <w:pPr>
      <w:suppressLineNumbers/>
    </w:pPr>
    <w:rPr>
      <w:rFonts w:cs="Arial"/>
    </w:rPr>
  </w:style>
  <w:style w:type="paragraph" w:customStyle="1" w:styleId="12">
    <w:name w:val="Заголовок1"/>
    <w:basedOn w:val="a"/>
    <w:rsid w:val="006D78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1"/>
    <w:basedOn w:val="a"/>
    <w:rsid w:val="006D784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D7843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6D7843"/>
    <w:pPr>
      <w:suppressLineNumbers/>
    </w:pPr>
  </w:style>
  <w:style w:type="paragraph" w:customStyle="1" w:styleId="ac">
    <w:name w:val="Заголовок таблицы"/>
    <w:basedOn w:val="ab"/>
    <w:rsid w:val="006D7843"/>
    <w:pPr>
      <w:jc w:val="center"/>
    </w:pPr>
    <w:rPr>
      <w:b/>
      <w:bCs/>
    </w:rPr>
  </w:style>
  <w:style w:type="paragraph" w:customStyle="1" w:styleId="Default">
    <w:name w:val="Default"/>
    <w:rsid w:val="006D7843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D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uiPriority w:val="99"/>
    <w:rsid w:val="006D7843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21">
    <w:name w:val="Основной текст (2)"/>
    <w:basedOn w:val="a"/>
    <w:rsid w:val="006D7843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</w:rPr>
  </w:style>
  <w:style w:type="paragraph" w:customStyle="1" w:styleId="3">
    <w:name w:val="Основной текст3"/>
    <w:basedOn w:val="a"/>
    <w:rsid w:val="006D7843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</w:rPr>
  </w:style>
  <w:style w:type="paragraph" w:customStyle="1" w:styleId="22">
    <w:name w:val="Заголовок №2"/>
    <w:basedOn w:val="a"/>
    <w:rsid w:val="006D7843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</w:rPr>
  </w:style>
  <w:style w:type="paragraph" w:customStyle="1" w:styleId="rvps2">
    <w:name w:val="rvps2"/>
    <w:basedOn w:val="a"/>
    <w:rsid w:val="006D7843"/>
    <w:pPr>
      <w:suppressAutoHyphens w:val="0"/>
      <w:spacing w:before="100" w:after="100"/>
    </w:pPr>
    <w:rPr>
      <w:rFonts w:eastAsia="Times New Roman"/>
    </w:rPr>
  </w:style>
  <w:style w:type="paragraph" w:styleId="ae">
    <w:name w:val="footer"/>
    <w:basedOn w:val="a"/>
    <w:rsid w:val="006D7843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6D7843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16"/>
    <w:uiPriority w:val="99"/>
    <w:semiHidden/>
    <w:unhideWhenUsed/>
    <w:rsid w:val="00B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f"/>
    <w:uiPriority w:val="99"/>
    <w:semiHidden/>
    <w:rsid w:val="00B76E71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f0">
    <w:name w:val="Normal (Web)"/>
    <w:basedOn w:val="a"/>
    <w:uiPriority w:val="99"/>
    <w:unhideWhenUsed/>
    <w:rsid w:val="002A0E3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10878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cp:lastModifiedBy>Олена Петрівна Архипенко</cp:lastModifiedBy>
  <cp:revision>18</cp:revision>
  <cp:lastPrinted>2021-12-13T09:34:00Z</cp:lastPrinted>
  <dcterms:created xsi:type="dcterms:W3CDTF">2024-08-06T09:02:00Z</dcterms:created>
  <dcterms:modified xsi:type="dcterms:W3CDTF">2024-08-15T06:36:00Z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2023-01-09T10:35:13Z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87c121ea-11cc-4de2-9d6e-a8b8bf62aa2c</vt:lpwstr>
  </property>
  <property fmtid="{D5CDD505-2E9C-101B-9397-08002B2CF9AE}" pid="14" name="MSIP_Label_defa4170-0d19-0005-0004-bc88714345d2_ActionId">
    <vt:lpwstr>ddca8f6c-52b0-4546-a1c6-c817a5b41f2f</vt:lpwstr>
  </property>
  <property fmtid="{D5CDD505-2E9C-101B-9397-08002B2CF9AE}" pid="15" name="MSIP_Label_defa4170-0d19-0005-0004-bc88714345d2_ContentBits">
    <vt:lpwstr>0</vt:lpwstr>
  </property>
</Properties>
</file>