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72" w:rsidRDefault="00C25F8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АНАЛІЗ РЕГУЛЯТОРНОГО ВПЛИВУ</w:t>
      </w:r>
    </w:p>
    <w:p w:rsidR="00D91472" w:rsidRDefault="00C25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та місцевого значення»</w:t>
      </w:r>
    </w:p>
    <w:p w:rsidR="00D91472" w:rsidRDefault="00D91472">
      <w:pPr>
        <w:widowControl w:val="0"/>
        <w:tabs>
          <w:tab w:val="left" w:pos="990"/>
        </w:tabs>
        <w:ind w:firstLine="992"/>
        <w:jc w:val="both"/>
        <w:rPr>
          <w:b/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І. Визначення проблеми</w:t>
      </w:r>
    </w:p>
    <w:p w:rsidR="00D91472" w:rsidRDefault="00C25F8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та місцевого значення» </w:t>
      </w:r>
      <w:r>
        <w:rPr>
          <w:sz w:val="28"/>
          <w:szCs w:val="28"/>
          <w:highlight w:val="white"/>
        </w:rPr>
        <w:t xml:space="preserve">розроблено з метою внесення змін і доповнень </w:t>
      </w:r>
      <w:r>
        <w:rPr>
          <w:sz w:val="28"/>
          <w:szCs w:val="28"/>
        </w:rPr>
        <w:t xml:space="preserve">Переліків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 </w:t>
      </w:r>
      <w:r w:rsidR="006F7986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№ 1370), на які можуть видаватись спеціальні дозволи на користування надрами.</w:t>
      </w:r>
    </w:p>
    <w:p w:rsidR="00D91472" w:rsidRDefault="00C25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:rsidR="00D91472" w:rsidRDefault="00C25F8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Пунктом 2 </w:t>
      </w:r>
      <w:r>
        <w:rPr>
          <w:sz w:val="28"/>
          <w:szCs w:val="28"/>
        </w:rPr>
        <w:t xml:space="preserve">постанови Кабінету Міністрів України </w:t>
      </w:r>
      <w:r>
        <w:rPr>
          <w:sz w:val="28"/>
          <w:szCs w:val="28"/>
          <w:highlight w:val="white"/>
        </w:rPr>
        <w:t xml:space="preserve">від 12.12.1994 № 827  «Про затвердження переліків корисних копалин загальнодержавного та місцевого значення» </w:t>
      </w:r>
      <w:r>
        <w:rPr>
          <w:sz w:val="28"/>
          <w:szCs w:val="28"/>
        </w:rPr>
        <w:t xml:space="preserve">визначено, зокрема, </w:t>
      </w:r>
      <w:r>
        <w:rPr>
          <w:sz w:val="28"/>
          <w:szCs w:val="28"/>
          <w:highlight w:val="white"/>
        </w:rPr>
        <w:t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Переліків.</w:t>
      </w:r>
    </w:p>
    <w:p w:rsidR="00D91472" w:rsidRDefault="00C25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виконання пункту 2 згаданої постанови та забезпечення сталого розвитку, потреб національної економіки корисними копалинами загальнодержавного та місцевого значення та залучення інвестицій у видобувну галузь України, </w:t>
      </w:r>
      <w:proofErr w:type="spellStart"/>
      <w:r>
        <w:rPr>
          <w:sz w:val="28"/>
          <w:szCs w:val="28"/>
        </w:rPr>
        <w:t>Міндовкілля</w:t>
      </w:r>
      <w:proofErr w:type="spellEnd"/>
      <w:r>
        <w:rPr>
          <w:sz w:val="28"/>
          <w:szCs w:val="28"/>
        </w:rPr>
        <w:t xml:space="preserve"> спільно з </w:t>
      </w:r>
      <w:proofErr w:type="spellStart"/>
      <w:r>
        <w:rPr>
          <w:sz w:val="28"/>
          <w:szCs w:val="28"/>
        </w:rPr>
        <w:t>Держгеонадрами</w:t>
      </w:r>
      <w:proofErr w:type="spellEnd"/>
      <w:r>
        <w:rPr>
          <w:sz w:val="28"/>
          <w:szCs w:val="28"/>
        </w:rPr>
        <w:t xml:space="preserve"> розроблено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та місцевого значення»</w:t>
      </w:r>
    </w:p>
    <w:p w:rsidR="00D91472" w:rsidRDefault="00C25F8C">
      <w:pPr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пропонується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Переліків корисних копалин загальнодержавного та місцевого значення, шляхом збільшення кількості корисних копалин на які можуть видаватись спеціальні дозволи на користування надрами, виклавши їх в новій редакції, та приведення у відповідність до переліку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16.07.2021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23.07.2021 № 306.</w:t>
      </w:r>
    </w:p>
    <w:p w:rsidR="002D47B9" w:rsidRDefault="00C25F8C" w:rsidP="002D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надрах України виявлено понад 20 тис. родовищ і проявів з 117 видів корисних копалин, з яких близько 8 949 родовищ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1873 ділянок вод підземних питних та технічних, мінеральних) мають промислове значення і враховуються Державним балансом запасів корисних копалин. Під дію регулювання акту підпадають – 2300  суб'єктів господарювання.</w:t>
      </w:r>
    </w:p>
    <w:p w:rsidR="00D91472" w:rsidRDefault="00C25F8C" w:rsidP="002D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Затвердження змін до Переліків корисних копалин загальнодержавного та місцевого значення передбачає збільшення кількості корисних копалин, із 338 до 389, </w:t>
      </w:r>
      <w:r>
        <w:rPr>
          <w:sz w:val="28"/>
          <w:szCs w:val="28"/>
        </w:rPr>
        <w:lastRenderedPageBreak/>
        <w:t xml:space="preserve">розділи доповнено актуальними корисними копалинами різного походження, враховуючи тенденції сучасності зокрема: </w:t>
      </w:r>
    </w:p>
    <w:p w:rsidR="00D91472" w:rsidRDefault="00C25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left="357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додано нові корисні копалини що обліковані Державним балансом</w:t>
      </w:r>
    </w:p>
    <w:p w:rsidR="00D91472" w:rsidRDefault="00C25F8C">
      <w:pPr>
        <w:spacing w:line="235" w:lineRule="auto"/>
        <w:jc w:val="both"/>
        <w:rPr>
          <w:sz w:val="28"/>
          <w:szCs w:val="28"/>
        </w:rPr>
      </w:pPr>
      <w:bookmarkStart w:id="2" w:name="_30j0zll" w:colFirst="0" w:colLast="0"/>
      <w:bookmarkEnd w:id="2"/>
      <w:r>
        <w:rPr>
          <w:sz w:val="28"/>
          <w:szCs w:val="28"/>
        </w:rPr>
        <w:t xml:space="preserve">запасів корисних копалин України на підставі рішень ДКЗ України, ДКЗ СРСР, </w:t>
      </w:r>
      <w:proofErr w:type="spellStart"/>
      <w:r>
        <w:rPr>
          <w:sz w:val="28"/>
          <w:szCs w:val="28"/>
        </w:rPr>
        <w:t>УкрТКЗ</w:t>
      </w:r>
      <w:proofErr w:type="spellEnd"/>
      <w:r>
        <w:rPr>
          <w:sz w:val="28"/>
          <w:szCs w:val="28"/>
        </w:rPr>
        <w:t>, ВКЗ, ЦКЗ, НТР, ТР, а саме: «Водень природний», «Газ колекторів щільних порід», «Габро-анортозит», «Габро-лабрадорит», «Габро-сієніт», «</w:t>
      </w:r>
      <w:proofErr w:type="spellStart"/>
      <w:r>
        <w:rPr>
          <w:sz w:val="28"/>
          <w:szCs w:val="28"/>
        </w:rPr>
        <w:t>Гнейсо</w:t>
      </w:r>
      <w:proofErr w:type="spellEnd"/>
      <w:r>
        <w:rPr>
          <w:sz w:val="28"/>
          <w:szCs w:val="28"/>
        </w:rPr>
        <w:t>-граніт», «</w:t>
      </w:r>
      <w:proofErr w:type="spellStart"/>
      <w:r>
        <w:rPr>
          <w:sz w:val="28"/>
          <w:szCs w:val="28"/>
        </w:rPr>
        <w:t>Долерит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Ендербіт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Мікрогранодіорит</w:t>
      </w:r>
      <w:proofErr w:type="spellEnd"/>
      <w:r>
        <w:rPr>
          <w:sz w:val="28"/>
          <w:szCs w:val="28"/>
        </w:rPr>
        <w:t>», «Мікроклін», «Кварцити залізисті», «</w:t>
      </w:r>
      <w:proofErr w:type="spellStart"/>
      <w:r>
        <w:rPr>
          <w:sz w:val="28"/>
          <w:szCs w:val="28"/>
        </w:rPr>
        <w:t>Піроксеніт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Андезито-дацит</w:t>
      </w:r>
      <w:proofErr w:type="spellEnd"/>
      <w:r>
        <w:rPr>
          <w:sz w:val="28"/>
          <w:szCs w:val="28"/>
        </w:rPr>
        <w:t>», «Габро-діорит», «Габро-</w:t>
      </w:r>
      <w:proofErr w:type="spellStart"/>
      <w:r>
        <w:rPr>
          <w:sz w:val="28"/>
          <w:szCs w:val="28"/>
        </w:rPr>
        <w:t>долерит</w:t>
      </w:r>
      <w:proofErr w:type="spellEnd"/>
      <w:r>
        <w:rPr>
          <w:sz w:val="28"/>
          <w:szCs w:val="28"/>
        </w:rPr>
        <w:t>», «Габро-</w:t>
      </w:r>
      <w:proofErr w:type="spellStart"/>
      <w:r>
        <w:rPr>
          <w:sz w:val="28"/>
          <w:szCs w:val="28"/>
        </w:rPr>
        <w:t>монцоніт</w:t>
      </w:r>
      <w:proofErr w:type="spellEnd"/>
      <w:r>
        <w:rPr>
          <w:sz w:val="28"/>
          <w:szCs w:val="28"/>
        </w:rPr>
        <w:t>», «Граніт-порфір», «</w:t>
      </w:r>
      <w:proofErr w:type="spellStart"/>
      <w:r>
        <w:rPr>
          <w:sz w:val="28"/>
          <w:szCs w:val="28"/>
        </w:rPr>
        <w:t>Ліпарито-дацит</w:t>
      </w:r>
      <w:proofErr w:type="spellEnd"/>
      <w:r>
        <w:rPr>
          <w:sz w:val="28"/>
          <w:szCs w:val="28"/>
        </w:rPr>
        <w:t>», «Пегматит», «</w:t>
      </w:r>
      <w:proofErr w:type="spellStart"/>
      <w:r>
        <w:rPr>
          <w:sz w:val="28"/>
          <w:szCs w:val="28"/>
        </w:rPr>
        <w:t>Плагіомігматит</w:t>
      </w:r>
      <w:proofErr w:type="spellEnd"/>
      <w:r>
        <w:rPr>
          <w:sz w:val="28"/>
          <w:szCs w:val="28"/>
        </w:rPr>
        <w:t>», «Вуглекислий газ (діоксид вуглецю)»;</w:t>
      </w:r>
    </w:p>
    <w:p w:rsidR="00D91472" w:rsidRDefault="00C25F8C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відкориговано</w:t>
      </w:r>
      <w:proofErr w:type="spellEnd"/>
      <w:r>
        <w:rPr>
          <w:sz w:val="28"/>
          <w:szCs w:val="28"/>
        </w:rPr>
        <w:t xml:space="preserve"> назви корисних копалин з урахуванням напрямів застосування, а саме: «Газ природний», «Залізні, у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Кварцити залізисті», «Каолін», «Глина», «Солі калійні», «Солі магнієві», «Пісок», «Аргіліт», «Доломіт», «Ліпарит», «</w:t>
      </w:r>
      <w:proofErr w:type="spellStart"/>
      <w:r>
        <w:rPr>
          <w:sz w:val="28"/>
          <w:szCs w:val="28"/>
        </w:rPr>
        <w:t>Монцоніт</w:t>
      </w:r>
      <w:proofErr w:type="spellEnd"/>
      <w:r>
        <w:rPr>
          <w:sz w:val="28"/>
          <w:szCs w:val="28"/>
        </w:rPr>
        <w:t>», «Польовий шпат», «Алеврит», «Ангідрит», «Кварцити залізисті», «Сієніт», «Суглинок», «Туф», «Алевроліт», «Амфіболіт», «Базальт», «</w:t>
      </w:r>
      <w:proofErr w:type="spellStart"/>
      <w:r>
        <w:rPr>
          <w:sz w:val="28"/>
          <w:szCs w:val="28"/>
        </w:rPr>
        <w:t>Кальцифір</w:t>
      </w:r>
      <w:proofErr w:type="spellEnd"/>
      <w:r>
        <w:rPr>
          <w:sz w:val="28"/>
          <w:szCs w:val="28"/>
        </w:rPr>
        <w:t xml:space="preserve">», «Кварцит», «Крейда», «Кремінь», «Мергель»,  «Гелій», «Сланець», «Питні», «Мінеральні», сформовано об’єднані групи ,,Руди рідкісноземельні,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ітрієві, металів </w:t>
      </w:r>
      <w:proofErr w:type="spellStart"/>
      <w:r>
        <w:rPr>
          <w:sz w:val="28"/>
          <w:szCs w:val="28"/>
        </w:rPr>
        <w:t>лантаноїдної</w:t>
      </w:r>
      <w:proofErr w:type="spellEnd"/>
      <w:r>
        <w:rPr>
          <w:sz w:val="28"/>
          <w:szCs w:val="28"/>
        </w:rPr>
        <w:t xml:space="preserve"> групи,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церієві,, та «Пухкі осадові породи піщано-валунного складу».</w:t>
      </w:r>
    </w:p>
    <w:p w:rsidR="00D91472" w:rsidRDefault="00C25F8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доповнено новими розділами «НЕГОРЮЧІ» з підрозділом «Газоподібні» та «ТЕХНОГЕННІ» з підрозділами: «Горючі», «Металічні», «Неметалічні» - 12 позицій; </w:t>
      </w:r>
    </w:p>
    <w:p w:rsidR="00D91472" w:rsidRDefault="00C25F8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відкориговано</w:t>
      </w:r>
      <w:proofErr w:type="spellEnd"/>
      <w:r>
        <w:rPr>
          <w:sz w:val="28"/>
          <w:szCs w:val="28"/>
        </w:rPr>
        <w:t xml:space="preserve"> назви розділів «МЕТАЛІЧНІ», «НЕМЕТАЛІЧНІ» та назви його підрозділів «Сировина для каменю бутового та </w:t>
      </w:r>
      <w:proofErr w:type="spellStart"/>
      <w:r>
        <w:rPr>
          <w:sz w:val="28"/>
          <w:szCs w:val="28"/>
        </w:rPr>
        <w:t>щебеню</w:t>
      </w:r>
      <w:proofErr w:type="spellEnd"/>
      <w:r>
        <w:rPr>
          <w:sz w:val="28"/>
          <w:szCs w:val="28"/>
        </w:rPr>
        <w:t xml:space="preserve">» (перелік корисних копалин загальнодержавного значення), «Сировина піщана» та «Сировина цегельно-черепична, а також для улаштування земляного полотна, закладки виробленого простору» (перелік корисних копалин місцевого значення); </w:t>
      </w:r>
    </w:p>
    <w:p w:rsidR="00D91472" w:rsidRDefault="00C25F8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виключено корисні копалини – «Ріоліт», «Кадмієві», «Галька», «Гравій», «Піщано-гальковий матеріал».</w:t>
      </w:r>
    </w:p>
    <w:p w:rsidR="00D91472" w:rsidRDefault="00C25F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сприятиме </w:t>
      </w:r>
      <w:r>
        <w:rPr>
          <w:sz w:val="28"/>
          <w:szCs w:val="28"/>
          <w:highlight w:val="white"/>
        </w:rPr>
        <w:t>актуалізації та доповненню Переліків корисних копалин загальнодержавного та місцевого значення,</w:t>
      </w:r>
      <w:r>
        <w:rPr>
          <w:color w:val="333333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:rsidR="00D91472" w:rsidRDefault="00D91472">
      <w:pPr>
        <w:ind w:firstLine="709"/>
        <w:jc w:val="both"/>
        <w:rPr>
          <w:sz w:val="28"/>
          <w:szCs w:val="28"/>
        </w:rPr>
      </w:pPr>
    </w:p>
    <w:p w:rsidR="00D91472" w:rsidRDefault="00C25F8C" w:rsidP="000654C9">
      <w:pPr>
        <w:widowControl w:val="0"/>
        <w:tabs>
          <w:tab w:val="left" w:pos="990"/>
        </w:tabs>
        <w:ind w:firstLine="992"/>
        <w:jc w:val="center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tbl>
      <w:tblPr>
        <w:tblStyle w:val="a5"/>
        <w:tblW w:w="91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2552"/>
        <w:gridCol w:w="2750"/>
      </w:tblGrid>
      <w:tr w:rsidR="00D91472">
        <w:tc>
          <w:tcPr>
            <w:tcW w:w="3858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2552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2750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D91472">
        <w:tc>
          <w:tcPr>
            <w:tcW w:w="3858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2552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50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D91472">
        <w:tc>
          <w:tcPr>
            <w:tcW w:w="3858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2552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750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91472">
        <w:tc>
          <w:tcPr>
            <w:tcW w:w="3858" w:type="dxa"/>
          </w:tcPr>
          <w:p w:rsidR="00D91472" w:rsidRDefault="00C25F8C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552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750" w:type="dxa"/>
          </w:tcPr>
          <w:p w:rsidR="00D91472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91472" w:rsidRDefault="00D91472">
      <w:pPr>
        <w:widowControl w:val="0"/>
        <w:tabs>
          <w:tab w:val="left" w:pos="990"/>
        </w:tabs>
        <w:ind w:left="270" w:firstLine="770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Врегулювання зазначених проблемних питань не може бути здійснено за допомогою: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діючих регуляторних актів, оскільки чинним законодавством порушені питання не врегульовані. </w:t>
      </w:r>
    </w:p>
    <w:p w:rsidR="00D91472" w:rsidRDefault="00D91472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ІІ. Цілі державного регулювання</w:t>
      </w:r>
    </w:p>
    <w:p w:rsidR="00D91472" w:rsidRDefault="00C25F8C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Основними цілями державного регулювання є: </w:t>
      </w:r>
    </w:p>
    <w:p w:rsidR="00D91472" w:rsidRDefault="00C25F8C" w:rsidP="007977F4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потреб національної економіки стратегічно важливою сировиною;</w:t>
      </w:r>
    </w:p>
    <w:p w:rsidR="00D91472" w:rsidRDefault="00C25F8C" w:rsidP="007977F4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рівня обороноздатності держави;</w:t>
      </w:r>
    </w:p>
    <w:p w:rsidR="00D91472" w:rsidRDefault="00C25F8C" w:rsidP="007977F4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захист національних інтересів в економічній сфері;</w:t>
      </w:r>
    </w:p>
    <w:p w:rsidR="00D91472" w:rsidRDefault="00C25F8C" w:rsidP="007977F4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підвищення прозорості у сфері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>;</w:t>
      </w:r>
    </w:p>
    <w:p w:rsidR="00D91472" w:rsidRDefault="00C25F8C" w:rsidP="007977F4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збільшення інвестиційної привабливості сфери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>;</w:t>
      </w:r>
    </w:p>
    <w:p w:rsidR="00D91472" w:rsidRDefault="00C25F8C" w:rsidP="007977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врегулювання відносин у сфері раціонального користування надрами та інших галузях процесу.</w:t>
      </w:r>
    </w:p>
    <w:p w:rsidR="00096BB6" w:rsidRDefault="00096BB6" w:rsidP="007977F4">
      <w:pPr>
        <w:widowControl w:val="0"/>
        <w:tabs>
          <w:tab w:val="left" w:pos="770"/>
          <w:tab w:val="left" w:pos="990"/>
        </w:tabs>
        <w:rPr>
          <w:color w:val="000000"/>
          <w:sz w:val="28"/>
          <w:szCs w:val="28"/>
        </w:rPr>
      </w:pPr>
    </w:p>
    <w:p w:rsidR="00D91472" w:rsidRDefault="00C25F8C" w:rsidP="007977F4">
      <w:pPr>
        <w:widowControl w:val="0"/>
        <w:tabs>
          <w:tab w:val="left" w:pos="770"/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 Визначення та оцінка альтернативних способів досягнення цілей</w:t>
      </w:r>
    </w:p>
    <w:p w:rsidR="00E92E0F" w:rsidRDefault="009844AF" w:rsidP="007B5BDE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5F8C">
        <w:rPr>
          <w:sz w:val="28"/>
          <w:szCs w:val="28"/>
        </w:rPr>
        <w:t>Визначення альтернативних способів</w:t>
      </w:r>
    </w:p>
    <w:tbl>
      <w:tblPr>
        <w:tblStyle w:val="a6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0"/>
        <w:gridCol w:w="5230"/>
      </w:tblGrid>
      <w:tr w:rsidR="00D91472" w:rsidTr="00096BB6">
        <w:tc>
          <w:tcPr>
            <w:tcW w:w="3950" w:type="dxa"/>
          </w:tcPr>
          <w:p w:rsidR="00D91472" w:rsidRDefault="00C25F8C" w:rsidP="007977F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5230" w:type="dxa"/>
          </w:tcPr>
          <w:p w:rsidR="00D91472" w:rsidRDefault="00C25F8C" w:rsidP="007977F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 альтернативи</w:t>
            </w:r>
          </w:p>
        </w:tc>
      </w:tr>
      <w:tr w:rsidR="00D91472" w:rsidTr="00096BB6">
        <w:trPr>
          <w:trHeight w:val="1409"/>
        </w:trPr>
        <w:tc>
          <w:tcPr>
            <w:tcW w:w="3950" w:type="dxa"/>
          </w:tcPr>
          <w:p w:rsidR="00D91472" w:rsidRDefault="00C25F8C" w:rsidP="007977F4">
            <w:pPr>
              <w:widowControl w:val="0"/>
              <w:tabs>
                <w:tab w:val="left" w:pos="990"/>
              </w:tabs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  <w:p w:rsidR="00D91472" w:rsidRDefault="00D91472" w:rsidP="007977F4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5230" w:type="dxa"/>
          </w:tcPr>
          <w:p w:rsidR="00D91472" w:rsidRDefault="00C25F8C" w:rsidP="007977F4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Залишення чинного регулювання.</w:t>
            </w:r>
          </w:p>
          <w:p w:rsidR="00D91472" w:rsidRDefault="00C25F8C" w:rsidP="007977F4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Збереження ситуації, яка існує на цей час, нажаль, не вирішує проблему,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D91472" w:rsidTr="00096BB6">
        <w:tc>
          <w:tcPr>
            <w:tcW w:w="3950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2.</w:t>
            </w:r>
          </w:p>
          <w:p w:rsidR="00D91472" w:rsidRDefault="00D91472">
            <w:pPr>
              <w:ind w:left="16"/>
              <w:rPr>
                <w:sz w:val="28"/>
                <w:szCs w:val="28"/>
              </w:rPr>
            </w:pPr>
          </w:p>
        </w:tc>
        <w:tc>
          <w:tcPr>
            <w:tcW w:w="5230" w:type="dxa"/>
          </w:tcPr>
          <w:p w:rsidR="00D91472" w:rsidRDefault="00C25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постанови Кабінету Міністрів України «Про внесення змін до переліків корисних копалин загальнодержавного та місцевого значення», забезпечить </w:t>
            </w:r>
            <w:r>
              <w:rPr>
                <w:sz w:val="28"/>
                <w:szCs w:val="28"/>
                <w:highlight w:val="white"/>
              </w:rPr>
              <w:t>внесення змін і доповнень до зазначених Переліків</w:t>
            </w:r>
            <w:r>
              <w:rPr>
                <w:sz w:val="28"/>
                <w:szCs w:val="28"/>
              </w:rPr>
              <w:t>, врегулювання відносин у сфері користування надрами та інших галузях процесу, розвиток економіки та обороноздатності держави</w:t>
            </w:r>
          </w:p>
        </w:tc>
      </w:tr>
    </w:tbl>
    <w:p w:rsidR="009844AF" w:rsidRDefault="009844AF" w:rsidP="009844AF">
      <w:pPr>
        <w:widowControl w:val="0"/>
        <w:tabs>
          <w:tab w:val="left" w:pos="990"/>
        </w:tabs>
        <w:rPr>
          <w:sz w:val="28"/>
          <w:szCs w:val="28"/>
        </w:rPr>
      </w:pPr>
    </w:p>
    <w:p w:rsidR="00D91472" w:rsidRPr="003D797B" w:rsidRDefault="003D797B" w:rsidP="009844AF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25F8C" w:rsidRPr="003D797B">
        <w:rPr>
          <w:sz w:val="28"/>
          <w:szCs w:val="28"/>
        </w:rPr>
        <w:t>Оцінка вибраних альтернативних способів досягнення цілей</w:t>
      </w:r>
    </w:p>
    <w:p w:rsidR="00C75988" w:rsidRDefault="00C25F8C" w:rsidP="007B5BDE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802"/>
        <w:gridCol w:w="2684"/>
      </w:tblGrid>
      <w:tr w:rsidR="00D91472" w:rsidTr="002D35FE">
        <w:tc>
          <w:tcPr>
            <w:tcW w:w="2694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802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Вигоди</w:t>
            </w:r>
          </w:p>
        </w:tc>
        <w:tc>
          <w:tcPr>
            <w:tcW w:w="2684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</w:tr>
      <w:tr w:rsidR="00D91472" w:rsidTr="002D35FE">
        <w:tc>
          <w:tcPr>
            <w:tcW w:w="2694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  <w:p w:rsidR="00D91472" w:rsidRDefault="00D91472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Відсутні.</w:t>
            </w:r>
          </w:p>
        </w:tc>
        <w:tc>
          <w:tcPr>
            <w:tcW w:w="2684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разі неприйняття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постанови залишаються неврегульованими відносини у сфері раціонального користування </w:t>
            </w:r>
            <w:r>
              <w:rPr>
                <w:sz w:val="28"/>
                <w:szCs w:val="28"/>
              </w:rPr>
              <w:lastRenderedPageBreak/>
              <w:t xml:space="preserve">надрами та невизначеність потреби у доповненні </w:t>
            </w:r>
            <w:r>
              <w:rPr>
                <w:sz w:val="28"/>
                <w:szCs w:val="28"/>
                <w:highlight w:val="white"/>
              </w:rPr>
              <w:t xml:space="preserve">Переліків корисних копалин </w:t>
            </w:r>
            <w:proofErr w:type="spellStart"/>
            <w:r>
              <w:rPr>
                <w:sz w:val="28"/>
                <w:szCs w:val="28"/>
                <w:highlight w:val="white"/>
              </w:rPr>
              <w:t>загальнодердавного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та місцевого значення</w:t>
            </w:r>
            <w:r>
              <w:rPr>
                <w:sz w:val="28"/>
                <w:szCs w:val="28"/>
              </w:rPr>
              <w:t xml:space="preserve"> затверджених постановою Кабінету Міністрів України </w:t>
            </w:r>
            <w:r>
              <w:rPr>
                <w:sz w:val="28"/>
                <w:szCs w:val="28"/>
                <w:highlight w:val="white"/>
              </w:rPr>
              <w:t>від 12.12.1994 № 827 (у редакції постанови Кабінету Міністрів України від 28.12.2011 № 1370).</w:t>
            </w:r>
          </w:p>
        </w:tc>
      </w:tr>
      <w:tr w:rsidR="00D91472" w:rsidTr="002D35FE">
        <w:tc>
          <w:tcPr>
            <w:tcW w:w="2694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Альтернатива 2.</w:t>
            </w:r>
          </w:p>
        </w:tc>
        <w:tc>
          <w:tcPr>
            <w:tcW w:w="3802" w:type="dxa"/>
          </w:tcPr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сприятиме:</w:t>
            </w:r>
          </w:p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актуалізації та доповненню Переліків корисних копалин </w:t>
            </w:r>
            <w:proofErr w:type="spellStart"/>
            <w:r>
              <w:rPr>
                <w:sz w:val="28"/>
                <w:szCs w:val="28"/>
                <w:highlight w:val="white"/>
              </w:rPr>
              <w:t>загальнодердавного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та місцевого значення, </w:t>
            </w:r>
            <w:r>
              <w:rPr>
                <w:sz w:val="28"/>
                <w:szCs w:val="28"/>
              </w:rPr>
              <w:t>на які можуть видаватись спеціальні дозволи на користування надрами,</w:t>
            </w:r>
          </w:p>
          <w:p w:rsidR="00D91472" w:rsidRDefault="00C25F8C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ефективній реалізації політики раціонального  користування надрами та співпраця в усіх галузях процесу: розвідки, видобутку, переробки і реалізації мінеральної сировини.</w:t>
            </w:r>
          </w:p>
        </w:tc>
        <w:tc>
          <w:tcPr>
            <w:tcW w:w="2684" w:type="dxa"/>
          </w:tcPr>
          <w:p w:rsidR="00D91472" w:rsidRDefault="00C25F8C" w:rsidP="006538CD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Відсутні.</w:t>
            </w:r>
          </w:p>
        </w:tc>
      </w:tr>
    </w:tbl>
    <w:p w:rsidR="0021229E" w:rsidRDefault="0021229E" w:rsidP="0021229E">
      <w:pPr>
        <w:widowControl w:val="0"/>
        <w:tabs>
          <w:tab w:val="left" w:pos="990"/>
        </w:tabs>
        <w:jc w:val="center"/>
        <w:rPr>
          <w:sz w:val="28"/>
          <w:szCs w:val="28"/>
          <w:u w:val="single"/>
        </w:rPr>
      </w:pPr>
    </w:p>
    <w:p w:rsidR="00105646" w:rsidRDefault="00C25F8C" w:rsidP="00105646">
      <w:pPr>
        <w:widowControl w:val="0"/>
        <w:tabs>
          <w:tab w:val="left" w:pos="99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Оцінка впливу на сферу інтересів громадян</w:t>
      </w:r>
    </w:p>
    <w:tbl>
      <w:tblPr>
        <w:tblStyle w:val="a8"/>
        <w:tblpPr w:leftFromText="180" w:rightFromText="180" w:vertAnchor="text" w:tblpX="367" w:tblpY="295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132"/>
        <w:gridCol w:w="3690"/>
      </w:tblGrid>
      <w:tr w:rsidR="00D91472">
        <w:tc>
          <w:tcPr>
            <w:tcW w:w="2448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132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Вигоди</w:t>
            </w:r>
          </w:p>
        </w:tc>
        <w:tc>
          <w:tcPr>
            <w:tcW w:w="3690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</w:tr>
      <w:tr w:rsidR="00D91472">
        <w:tc>
          <w:tcPr>
            <w:tcW w:w="2448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3132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D91472" w:rsidRDefault="00C25F8C" w:rsidP="007D577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1472">
        <w:tc>
          <w:tcPr>
            <w:tcW w:w="2448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2.</w:t>
            </w:r>
          </w:p>
        </w:tc>
        <w:tc>
          <w:tcPr>
            <w:tcW w:w="3132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:rsidR="00D91472" w:rsidRDefault="00C25F8C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91472" w:rsidRDefault="00D91472">
      <w:pPr>
        <w:widowControl w:val="0"/>
        <w:tabs>
          <w:tab w:val="left" w:pos="990"/>
        </w:tabs>
        <w:spacing w:after="120"/>
        <w:ind w:firstLine="992"/>
        <w:jc w:val="both"/>
        <w:rPr>
          <w:sz w:val="28"/>
          <w:szCs w:val="28"/>
          <w:u w:val="single"/>
        </w:rPr>
      </w:pPr>
    </w:p>
    <w:p w:rsidR="007D5774" w:rsidRDefault="00C25F8C" w:rsidP="00105646">
      <w:pPr>
        <w:widowControl w:val="0"/>
        <w:tabs>
          <w:tab w:val="left" w:pos="990"/>
        </w:tabs>
        <w:ind w:firstLine="99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Оцінка впливу на сферу інтересів суб’єктів господарювання</w:t>
      </w:r>
    </w:p>
    <w:tbl>
      <w:tblPr>
        <w:tblStyle w:val="a9"/>
        <w:tblW w:w="907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D91472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Великі*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Середні*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Малі*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Мікро*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Разом*</w:t>
            </w:r>
          </w:p>
        </w:tc>
      </w:tr>
      <w:tr w:rsidR="00D91472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934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 w:rsidP="007D577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2300</w:t>
            </w:r>
          </w:p>
        </w:tc>
      </w:tr>
      <w:tr w:rsidR="00D91472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0.93 %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8.91 %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49.54 %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40.62 %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72" w:rsidRDefault="00C25F8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100 %</w:t>
            </w:r>
          </w:p>
        </w:tc>
      </w:tr>
    </w:tbl>
    <w:p w:rsidR="00D91472" w:rsidRDefault="00C25F8C">
      <w:pPr>
        <w:widowControl w:val="0"/>
        <w:tabs>
          <w:tab w:val="left" w:pos="990"/>
        </w:tabs>
        <w:spacing w:before="120"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*Державна служба статистики України.</w:t>
      </w:r>
    </w:p>
    <w:tbl>
      <w:tblPr>
        <w:tblStyle w:val="aa"/>
        <w:tblW w:w="91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3662"/>
        <w:gridCol w:w="3031"/>
      </w:tblGrid>
      <w:tr w:rsidR="00D91472">
        <w:trPr>
          <w:trHeight w:val="20"/>
        </w:trPr>
        <w:tc>
          <w:tcPr>
            <w:tcW w:w="2467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662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Вигоди</w:t>
            </w:r>
          </w:p>
        </w:tc>
        <w:tc>
          <w:tcPr>
            <w:tcW w:w="3031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</w:tr>
      <w:tr w:rsidR="00D91472">
        <w:trPr>
          <w:trHeight w:val="20"/>
        </w:trPr>
        <w:tc>
          <w:tcPr>
            <w:tcW w:w="2467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3662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Відсутні.</w:t>
            </w:r>
          </w:p>
        </w:tc>
        <w:tc>
          <w:tcPr>
            <w:tcW w:w="3031" w:type="dxa"/>
          </w:tcPr>
          <w:p w:rsidR="00D91472" w:rsidRDefault="00C25F8C" w:rsidP="0089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 разі неприйняття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постанови залишаться неврегульованими відносини у сфері раціонального користування надрами </w:t>
            </w:r>
          </w:p>
        </w:tc>
      </w:tr>
      <w:tr w:rsidR="00D91472">
        <w:trPr>
          <w:trHeight w:val="20"/>
        </w:trPr>
        <w:tc>
          <w:tcPr>
            <w:tcW w:w="2467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2.</w:t>
            </w:r>
          </w:p>
          <w:p w:rsidR="00D91472" w:rsidRDefault="00D91472" w:rsidP="00892280">
            <w:pPr>
              <w:widowControl w:val="0"/>
              <w:tabs>
                <w:tab w:val="left" w:pos="990"/>
              </w:tabs>
              <w:ind w:left="270" w:firstLine="18"/>
              <w:rPr>
                <w:sz w:val="28"/>
                <w:szCs w:val="28"/>
              </w:rPr>
            </w:pPr>
          </w:p>
          <w:p w:rsidR="00D91472" w:rsidRDefault="00D91472" w:rsidP="00892280">
            <w:pPr>
              <w:widowControl w:val="0"/>
              <w:tabs>
                <w:tab w:val="left" w:pos="990"/>
              </w:tabs>
              <w:ind w:left="270" w:firstLine="18"/>
              <w:rPr>
                <w:sz w:val="28"/>
                <w:szCs w:val="28"/>
              </w:rPr>
            </w:pPr>
          </w:p>
        </w:tc>
        <w:tc>
          <w:tcPr>
            <w:tcW w:w="3662" w:type="dxa"/>
          </w:tcPr>
          <w:p w:rsidR="00D91472" w:rsidRDefault="00C25F8C" w:rsidP="00892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забезпечить:</w:t>
            </w:r>
          </w:p>
          <w:p w:rsidR="00D91472" w:rsidRDefault="00C25F8C" w:rsidP="00892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розширенню Переліків корисних копалин з метою отримання спеціального дозволу на користування надрами;</w:t>
            </w:r>
          </w:p>
          <w:p w:rsidR="00D91472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напрямів подальшого геологічного вивчення корисних копалин. загальнодержавного та місцевого значення;</w:t>
            </w:r>
          </w:p>
          <w:p w:rsidR="00D91472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використання технологічних процесів розвідки та видобутку корисних копалин, що впливатимуть на значення певних корисних копалин та їхню потребу.</w:t>
            </w:r>
          </w:p>
        </w:tc>
        <w:tc>
          <w:tcPr>
            <w:tcW w:w="3031" w:type="dxa"/>
          </w:tcPr>
          <w:p w:rsidR="00D91472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D91472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саме: 0,5 год на ознайомлення з нормативно-правовим актом.</w:t>
            </w:r>
          </w:p>
        </w:tc>
      </w:tr>
    </w:tbl>
    <w:p w:rsidR="00D91472" w:rsidRDefault="00D91472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  <w:bookmarkStart w:id="4" w:name="_3znysh7" w:colFirst="0" w:colLast="0"/>
      <w:bookmarkEnd w:id="4"/>
    </w:p>
    <w:p w:rsidR="00D91472" w:rsidRDefault="00D91472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1</w:t>
      </w:r>
    </w:p>
    <w:p w:rsidR="00D91472" w:rsidRDefault="00C25F8C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підприємництва (М-Тест)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Консультації з представниками мікро – та малого підприємництва щодо оцінки впливу регулювання.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10.10.2024 по 25.10.2024. </w:t>
      </w:r>
    </w:p>
    <w:p w:rsidR="00D91472" w:rsidRDefault="00D91472" w:rsidP="00436D88">
      <w:pPr>
        <w:widowControl w:val="0"/>
        <w:tabs>
          <w:tab w:val="left" w:pos="990"/>
        </w:tabs>
        <w:ind w:firstLine="709"/>
        <w:jc w:val="center"/>
        <w:rPr>
          <w:sz w:val="28"/>
          <w:szCs w:val="28"/>
        </w:rPr>
      </w:pPr>
    </w:p>
    <w:tbl>
      <w:tblPr>
        <w:tblStyle w:val="ab"/>
        <w:tblW w:w="9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07"/>
        <w:gridCol w:w="1842"/>
        <w:gridCol w:w="3523"/>
      </w:tblGrid>
      <w:tr w:rsidR="00D91472" w:rsidTr="007405EA">
        <w:tc>
          <w:tcPr>
            <w:tcW w:w="1696" w:type="dxa"/>
            <w:shd w:val="clear" w:color="auto" w:fill="auto"/>
            <w:vAlign w:val="center"/>
          </w:tcPr>
          <w:p w:rsidR="00D91472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1472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1472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436D88" w:rsidRDefault="00436D88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результати</w:t>
            </w:r>
          </w:p>
          <w:p w:rsidR="00D91472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консультацій</w:t>
            </w:r>
          </w:p>
        </w:tc>
      </w:tr>
      <w:tr w:rsidR="00D91472" w:rsidTr="007405EA">
        <w:tc>
          <w:tcPr>
            <w:tcW w:w="1696" w:type="dxa"/>
            <w:shd w:val="clear" w:color="auto" w:fill="auto"/>
          </w:tcPr>
          <w:p w:rsidR="00D91472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:rsidR="00D91472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>
              <w:rPr>
                <w:sz w:val="28"/>
                <w:szCs w:val="28"/>
              </w:rPr>
              <w:t>надрокористувачами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91472" w:rsidRDefault="00C25F8C" w:rsidP="006D6F83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:rsidR="00D91472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 сприймається.</w:t>
            </w:r>
          </w:p>
          <w:p w:rsidR="00D91472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D91472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ознайомитися з новими вимогами регулювання – 0,5 год.</w:t>
            </w:r>
          </w:p>
        </w:tc>
      </w:tr>
    </w:tbl>
    <w:p w:rsidR="00D91472" w:rsidRDefault="00D91472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Вимірювання впливу регулювання на суб’єкт</w:t>
      </w:r>
      <w:r w:rsidR="00785DF4">
        <w:rPr>
          <w:sz w:val="28"/>
          <w:szCs w:val="28"/>
        </w:rPr>
        <w:t>и</w:t>
      </w:r>
      <w:r>
        <w:rPr>
          <w:sz w:val="28"/>
          <w:szCs w:val="28"/>
        </w:rPr>
        <w:t xml:space="preserve"> малого підприємництва:</w:t>
      </w:r>
    </w:p>
    <w:p w:rsidR="00D91472" w:rsidRDefault="00C25F8C">
      <w:pPr>
        <w:widowControl w:val="0"/>
        <w:tabs>
          <w:tab w:val="left" w:pos="142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суб'єктів малого (мікро) підприємництва, на яких поширюється регулювання: 2074, у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малого підприємництва - 1140, </w:t>
      </w:r>
      <w:proofErr w:type="spellStart"/>
      <w:r>
        <w:rPr>
          <w:sz w:val="28"/>
          <w:szCs w:val="28"/>
        </w:rPr>
        <w:t>мікропідприємництва</w:t>
      </w:r>
      <w:proofErr w:type="spellEnd"/>
      <w:r>
        <w:rPr>
          <w:sz w:val="28"/>
          <w:szCs w:val="28"/>
        </w:rPr>
        <w:t xml:space="preserve"> – 934;</w:t>
      </w:r>
    </w:p>
    <w:p w:rsidR="00D91472" w:rsidRDefault="00C25F8C">
      <w:pPr>
        <w:widowControl w:val="0"/>
        <w:tabs>
          <w:tab w:val="left" w:pos="142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питома вага суб'єктів малого (мікро) підприємництва у загальній кількості суб'єктів господарювання, на яких проблема справляє вплив 90,16 %. </w:t>
      </w:r>
    </w:p>
    <w:p w:rsidR="004420DA" w:rsidRDefault="00C25F8C" w:rsidP="004420DA">
      <w:pPr>
        <w:pStyle w:val="af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both"/>
        <w:rPr>
          <w:color w:val="000000"/>
          <w:sz w:val="28"/>
          <w:szCs w:val="28"/>
        </w:rPr>
      </w:pPr>
      <w:r w:rsidRPr="004420DA">
        <w:rPr>
          <w:color w:val="000000"/>
          <w:sz w:val="28"/>
          <w:szCs w:val="28"/>
        </w:rPr>
        <w:t>Розрахунок витрат суб’єкта малого (мік</w:t>
      </w:r>
      <w:r w:rsidR="004420DA">
        <w:rPr>
          <w:color w:val="000000"/>
          <w:sz w:val="28"/>
          <w:szCs w:val="28"/>
        </w:rPr>
        <w:t>ро) підприємництва на виконання</w:t>
      </w:r>
    </w:p>
    <w:p w:rsidR="00D91472" w:rsidRPr="004420DA" w:rsidRDefault="00C25F8C" w:rsidP="00442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both"/>
        <w:rPr>
          <w:color w:val="000000"/>
          <w:sz w:val="28"/>
          <w:szCs w:val="28"/>
        </w:rPr>
      </w:pPr>
      <w:r w:rsidRPr="004420DA">
        <w:rPr>
          <w:color w:val="000000"/>
          <w:sz w:val="28"/>
          <w:szCs w:val="28"/>
        </w:rPr>
        <w:t xml:space="preserve">вимог регулювання. 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2024 рік», з 1 квітня 2024 року становить – 48,0 гривні.</w:t>
      </w:r>
    </w:p>
    <w:p w:rsidR="00D91472" w:rsidRDefault="00C25F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Первинна інформація про вимоги регулювання може бути отримана за результатами пошуку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і місцевого значення»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Держгеонадр</w:t>
      </w:r>
      <w:proofErr w:type="spellEnd"/>
      <w:r>
        <w:rPr>
          <w:sz w:val="28"/>
          <w:szCs w:val="28"/>
        </w:rPr>
        <w:t>.</w:t>
      </w:r>
    </w:p>
    <w:p w:rsidR="0098676C" w:rsidRDefault="00C25F8C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розмір часу, який витрачається суб’єктами на отримання зазначеної інформації, є оціночною.</w:t>
      </w:r>
    </w:p>
    <w:p w:rsidR="00FA41FE" w:rsidRDefault="00FA41FE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FA41FE" w:rsidRDefault="00FA41FE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FA41FE" w:rsidRDefault="00FA41FE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FA41FE" w:rsidRDefault="00FA41FE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FA41FE" w:rsidRDefault="00FA41FE" w:rsidP="00FA41FE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68517D" w:rsidRPr="00FA41FE" w:rsidRDefault="00C25F8C" w:rsidP="00FA41FE">
      <w:pPr>
        <w:widowControl w:val="0"/>
        <w:pBdr>
          <w:top w:val="nil"/>
          <w:left w:val="nil"/>
          <w:bottom w:val="nil"/>
          <w:right w:val="nil"/>
          <w:between w:val="nil"/>
        </w:pBdr>
        <w:ind w:left="1020" w:right="3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Style w:val="ac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131"/>
        <w:gridCol w:w="2127"/>
        <w:gridCol w:w="2097"/>
      </w:tblGrid>
      <w:tr w:rsidR="00D914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п’ять років</w:t>
            </w:r>
          </w:p>
        </w:tc>
      </w:tr>
      <w:tr w:rsidR="00D91472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Оціночно</w:t>
            </w:r>
            <w:proofErr w:type="spellEnd"/>
            <w:r>
              <w:rPr>
                <w:sz w:val="28"/>
                <w:szCs w:val="28"/>
              </w:rPr>
              <w:t xml:space="preserve">: 0,5 год. </w:t>
            </w:r>
          </w:p>
          <w:p w:rsidR="00D91472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Формула:</w:t>
            </w:r>
          </w:p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год. * 48,0 грн. = 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год. * 48,0 грн. = 24,0 грн</w:t>
            </w:r>
          </w:p>
        </w:tc>
      </w:tr>
      <w:tr w:rsidR="00D91472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Процедури виконання норм регулювання </w:t>
            </w:r>
          </w:p>
          <w:p w:rsidR="00D91472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Формула:</w:t>
            </w:r>
          </w:p>
          <w:p w:rsidR="00D91472" w:rsidRDefault="00C25F8C" w:rsidP="00C2791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Витрати часу на виконання норм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914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РАЗОМ, гривень</w:t>
            </w:r>
          </w:p>
          <w:p w:rsidR="00D91472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Формула:</w:t>
            </w:r>
          </w:p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(сума рядків: 1+2)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tabs>
                <w:tab w:val="left" w:pos="552"/>
                <w:tab w:val="center" w:pos="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</w:tr>
      <w:tr w:rsidR="00D914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2074</w:t>
            </w:r>
          </w:p>
        </w:tc>
      </w:tr>
      <w:tr w:rsidR="00D914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Сумарно, гривень</w:t>
            </w:r>
          </w:p>
          <w:p w:rsidR="00D91472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Формула:</w:t>
            </w:r>
          </w:p>
          <w:p w:rsidR="00D91472" w:rsidRDefault="00C25F8C" w:rsidP="00C2791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відповідний стовпчик (РАЗОМ, гривень) *кількість суб’єктів господарювання малого підприємництва, на яких буде поширено регулювання (рядок 3*рядок 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* 2074 = 49 776,0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Default="00C25F8C" w:rsidP="00C2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24,0 * 2074 = 49 776,0 грн</w:t>
            </w:r>
          </w:p>
        </w:tc>
      </w:tr>
    </w:tbl>
    <w:p w:rsidR="00D91472" w:rsidRDefault="00D91472" w:rsidP="00297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1472" w:rsidRDefault="00C25F8C" w:rsidP="00297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5" w:name="2et92p0" w:colFirst="0" w:colLast="0"/>
      <w:bookmarkStart w:id="6" w:name="tyjcwt" w:colFirst="0" w:colLast="0"/>
      <w:bookmarkEnd w:id="5"/>
      <w:bookmarkEnd w:id="6"/>
    </w:p>
    <w:p w:rsidR="005B5385" w:rsidRDefault="00C25F8C" w:rsidP="00D04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Державне регулювання не передбачає утворення нового державного органу. Бюджетні витрати не зміняться.</w:t>
      </w:r>
    </w:p>
    <w:p w:rsidR="00D041D1" w:rsidRPr="005B5385" w:rsidRDefault="00D041D1" w:rsidP="00D04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CD069A" w:rsidRPr="00D041D1" w:rsidRDefault="00C25F8C" w:rsidP="00CD069A">
      <w:pPr>
        <w:widowControl w:val="0"/>
        <w:pBdr>
          <w:top w:val="nil"/>
          <w:left w:val="nil"/>
          <w:bottom w:val="nil"/>
          <w:right w:val="nil"/>
          <w:between w:val="nil"/>
        </w:pBdr>
        <w:ind w:right="340" w:firstLine="7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Розрахунок сумарних витрат суб’єктів малого підприємництва, що виникають на виконання вимог регулювання</w:t>
      </w:r>
    </w:p>
    <w:tbl>
      <w:tblPr>
        <w:tblStyle w:val="ad"/>
        <w:tblpPr w:leftFromText="180" w:rightFromText="180" w:vertAnchor="text" w:tblpX="-147" w:tblpY="99"/>
        <w:tblW w:w="98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4539"/>
        <w:gridCol w:w="2273"/>
        <w:gridCol w:w="2154"/>
      </w:tblGrid>
      <w:tr w:rsidR="00D91472" w:rsidTr="00CD069A">
        <w:trPr>
          <w:trHeight w:val="8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№</w:t>
            </w:r>
          </w:p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з/п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D91472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200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Перший рік регулювання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За п’ять років</w:t>
            </w:r>
          </w:p>
        </w:tc>
      </w:tr>
      <w:tr w:rsidR="00D91472" w:rsidTr="00CD069A">
        <w:trPr>
          <w:trHeight w:val="10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r>
              <w:rPr>
                <w:sz w:val="28"/>
                <w:szCs w:val="28"/>
                <w:highlight w:val="white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91472" w:rsidRDefault="00C25F8C" w:rsidP="00D72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  <w:tr w:rsidR="00D91472" w:rsidTr="00CD069A">
        <w:trPr>
          <w:trHeight w:val="140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Оцінка вартості адміністративних процедур для суб’єктів малого підприємництва щодо виконання регулювання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49 776,0 грн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49 776,0 грн</w:t>
            </w:r>
          </w:p>
        </w:tc>
      </w:tr>
      <w:tr w:rsidR="00D91472" w:rsidTr="00CD069A">
        <w:trPr>
          <w:trHeight w:val="86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49 776,0 грн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49 776,0 грн</w:t>
            </w:r>
          </w:p>
        </w:tc>
      </w:tr>
      <w:tr w:rsidR="00D91472" w:rsidTr="00CD069A">
        <w:trPr>
          <w:trHeight w:val="11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r>
              <w:rPr>
                <w:sz w:val="28"/>
                <w:szCs w:val="28"/>
                <w:highlight w:val="white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1472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  <w:tr w:rsidR="00D91472" w:rsidTr="00CD069A">
        <w:trPr>
          <w:trHeight w:val="71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Default="00C25F8C" w:rsidP="00CD069A">
            <w:r>
              <w:rPr>
                <w:sz w:val="28"/>
                <w:szCs w:val="28"/>
                <w:highlight w:val="white"/>
              </w:rPr>
              <w:t>Сумарні витрати на виконання запланованого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1472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</w:tbl>
    <w:p w:rsidR="00AE6049" w:rsidRDefault="00AE6049" w:rsidP="00003C0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 w:right="20" w:firstLine="425"/>
        <w:jc w:val="both"/>
        <w:rPr>
          <w:sz w:val="28"/>
          <w:szCs w:val="28"/>
          <w:highlight w:val="white"/>
        </w:rPr>
      </w:pPr>
    </w:p>
    <w:p w:rsidR="00D91472" w:rsidRDefault="00C25F8C" w:rsidP="00003C0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 w:right="20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>
        <w:rPr>
          <w:color w:val="000000"/>
          <w:sz w:val="28"/>
          <w:szCs w:val="28"/>
          <w:highlight w:val="white"/>
        </w:rPr>
        <w:t xml:space="preserve"> Розроблення коригуючих (пом’якшувальних) заходів для малого підприємництва щодо запропонованого регулювання не передбачено.</w:t>
      </w:r>
    </w:p>
    <w:p w:rsidR="00D91472" w:rsidRDefault="00D91472" w:rsidP="00003C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D91472" w:rsidRDefault="00C25F8C" w:rsidP="00003C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0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>
        <w:rPr>
          <w:b/>
          <w:color w:val="000000"/>
          <w:sz w:val="28"/>
          <w:szCs w:val="28"/>
        </w:rPr>
        <w:t>акта</w:t>
      </w:r>
      <w:proofErr w:type="spellEnd"/>
    </w:p>
    <w:tbl>
      <w:tblPr>
        <w:tblStyle w:val="ae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п’ять років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 w:rsidP="00003C0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  грн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грн 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 (сума рядків: 1+2), гривень</w:t>
            </w:r>
          </w:p>
          <w:p w:rsidR="00D91472" w:rsidRDefault="00D91472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 грн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3*рядок 4), гривень.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5 424,0 грн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Default="00C25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5 424,0 грн</w:t>
            </w:r>
          </w:p>
        </w:tc>
      </w:tr>
      <w:tr w:rsidR="00D91472"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витрат, гривень</w:t>
            </w:r>
          </w:p>
        </w:tc>
      </w:tr>
      <w:tr w:rsidR="00333E91" w:rsidTr="00397462">
        <w:trPr>
          <w:gridAfter w:val="1"/>
          <w:wAfter w:w="61" w:type="dxa"/>
        </w:trPr>
        <w:tc>
          <w:tcPr>
            <w:tcW w:w="9720" w:type="dxa"/>
            <w:gridSpan w:val="5"/>
            <w:shd w:val="clear" w:color="auto" w:fill="auto"/>
          </w:tcPr>
          <w:p w:rsidR="00333E91" w:rsidRDefault="00333E9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Альтернатива 1.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Невиконання вимог </w:t>
            </w:r>
            <w:r>
              <w:rPr>
                <w:sz w:val="28"/>
                <w:szCs w:val="28"/>
              </w:rPr>
              <w:lastRenderedPageBreak/>
              <w:t xml:space="preserve">законодавства в частині стимулювання пошуку та видобутку корисних копалин, а також </w:t>
            </w:r>
            <w:proofErr w:type="spellStart"/>
            <w:r>
              <w:rPr>
                <w:sz w:val="28"/>
                <w:szCs w:val="28"/>
              </w:rPr>
              <w:t>раціональногло</w:t>
            </w:r>
            <w:proofErr w:type="spellEnd"/>
            <w:r>
              <w:rPr>
                <w:sz w:val="28"/>
                <w:szCs w:val="28"/>
              </w:rPr>
              <w:t xml:space="preserve"> користування надрами для забезпечення сталого розвитку економіки та обороноздатності держави.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Відсутність раціонального користування надрами та використання технологічних процесів розвідки та видобутку корисних копалин, а також в галузях переробки і реалізації мінеральної сировини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Відсутність раціонального користування надрами та використання технологічних процесів розвідки та видобутку корисних копалин, а також в галузях переробки і реалізації мінеральної сировини</w:t>
            </w:r>
          </w:p>
        </w:tc>
      </w:tr>
      <w:tr w:rsidR="00333E91" w:rsidTr="00092014">
        <w:trPr>
          <w:gridAfter w:val="1"/>
          <w:wAfter w:w="61" w:type="dxa"/>
        </w:trPr>
        <w:tc>
          <w:tcPr>
            <w:tcW w:w="9720" w:type="dxa"/>
            <w:gridSpan w:val="5"/>
            <w:shd w:val="clear" w:color="auto" w:fill="auto"/>
          </w:tcPr>
          <w:p w:rsidR="00333E91" w:rsidRDefault="00333E9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bookmarkStart w:id="7" w:name="_3dy6vkm" w:colFirst="0" w:colLast="0"/>
            <w:bookmarkEnd w:id="7"/>
            <w:r>
              <w:rPr>
                <w:b/>
                <w:sz w:val="28"/>
                <w:szCs w:val="28"/>
              </w:rPr>
              <w:t>Альтернатива 2.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Відсутні 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5 424,0 грн</w:t>
            </w:r>
          </w:p>
        </w:tc>
      </w:tr>
      <w:tr w:rsidR="00D91472"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1472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49 776,0 грн</w:t>
            </w:r>
          </w:p>
        </w:tc>
      </w:tr>
    </w:tbl>
    <w:p w:rsidR="00D91472" w:rsidRDefault="00D91472">
      <w:pPr>
        <w:ind w:firstLine="720"/>
        <w:jc w:val="both"/>
        <w:rPr>
          <w:b/>
          <w:sz w:val="28"/>
          <w:szCs w:val="28"/>
        </w:rPr>
      </w:pPr>
    </w:p>
    <w:p w:rsidR="00DE7678" w:rsidRDefault="00DE7678" w:rsidP="004149FF">
      <w:pPr>
        <w:jc w:val="both"/>
        <w:rPr>
          <w:b/>
          <w:sz w:val="28"/>
          <w:szCs w:val="28"/>
        </w:rPr>
      </w:pPr>
    </w:p>
    <w:p w:rsidR="005A06CB" w:rsidRDefault="00C25F8C" w:rsidP="004149FF">
      <w:pPr>
        <w:widowControl w:val="0"/>
        <w:tabs>
          <w:tab w:val="left" w:pos="99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 Вибір найбільш оптимального альтернативного способу досягнення цілей</w:t>
      </w:r>
    </w:p>
    <w:tbl>
      <w:tblPr>
        <w:tblStyle w:val="af"/>
        <w:tblW w:w="9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702"/>
        <w:gridCol w:w="646"/>
        <w:gridCol w:w="1962"/>
        <w:gridCol w:w="2020"/>
      </w:tblGrid>
      <w:tr w:rsidR="00D91472">
        <w:tc>
          <w:tcPr>
            <w:tcW w:w="2430" w:type="dxa"/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02" w:type="dxa"/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628" w:type="dxa"/>
            <w:gridSpan w:val="3"/>
          </w:tcPr>
          <w:p w:rsidR="00D91472" w:rsidRDefault="00C25F8C" w:rsidP="00F116B6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>
              <w:rPr>
                <w:sz w:val="28"/>
                <w:szCs w:val="28"/>
              </w:rPr>
              <w:t>бала</w:t>
            </w:r>
            <w:proofErr w:type="spellEnd"/>
          </w:p>
        </w:tc>
      </w:tr>
      <w:tr w:rsidR="00D91472">
        <w:tc>
          <w:tcPr>
            <w:tcW w:w="2430" w:type="dxa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  <w:p w:rsidR="00D91472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  <w:gridSpan w:val="3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Така альтернатива не сприятиме досягненню цілей державного регулювання. Залишаються </w:t>
            </w:r>
            <w:r>
              <w:rPr>
                <w:sz w:val="28"/>
                <w:szCs w:val="28"/>
              </w:rPr>
              <w:lastRenderedPageBreak/>
              <w:t>проблеми зазначені у Розділі 1 Аналізу.</w:t>
            </w:r>
          </w:p>
        </w:tc>
      </w:tr>
      <w:tr w:rsidR="00D91472">
        <w:tc>
          <w:tcPr>
            <w:tcW w:w="2430" w:type="dxa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Альтернатива 2.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  <w:gridSpan w:val="3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Така альтернатива сприятиме досягненню цілей державного регулювання щодо:</w:t>
            </w:r>
          </w:p>
          <w:p w:rsidR="00D91472" w:rsidRDefault="00C25F8C" w:rsidP="00F116B6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стимулювання пошуку та видобутку корисних копалин для забезпечення сталого розвитку економіки та обороноздатності держави що сприятиме ефективній реалізації політики раціонального користування надрами;</w:t>
            </w:r>
          </w:p>
          <w:p w:rsidR="00D91472" w:rsidRDefault="00C25F8C" w:rsidP="00F116B6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прозорості, інвестиційної привабливості, та співпраці в усіх галузях процесу: розвідки, видобутку, переробки і реалізації мінеральної сировини;</w:t>
            </w:r>
          </w:p>
          <w:p w:rsidR="00D91472" w:rsidRDefault="00C25F8C" w:rsidP="00F116B6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актуалізація та доповнення Переліків корисних копалин на які можуть видаватись спеціальні дозволи на користування надрами.</w:t>
            </w:r>
          </w:p>
        </w:tc>
      </w:tr>
      <w:tr w:rsidR="00D91472"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180"/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</w:tr>
      <w:tr w:rsidR="00D91472">
        <w:tc>
          <w:tcPr>
            <w:tcW w:w="2430" w:type="dxa"/>
            <w:tcBorders>
              <w:top w:val="single" w:sz="4" w:space="0" w:color="000000"/>
            </w:tcBorders>
          </w:tcPr>
          <w:p w:rsidR="00D91472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:rsidR="00D91472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Вигоди (підсумок)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D91472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:rsidR="00D91472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D91472">
        <w:tc>
          <w:tcPr>
            <w:tcW w:w="2430" w:type="dxa"/>
            <w:tcBorders>
              <w:top w:val="single" w:sz="4" w:space="0" w:color="000000"/>
            </w:tcBorders>
          </w:tcPr>
          <w:p w:rsidR="00D91472" w:rsidRDefault="00C25F8C" w:rsidP="0061013E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:rsidR="00D91472" w:rsidRPr="00055688" w:rsidRDefault="00C25F8C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держави: </w:t>
            </w:r>
            <w:r>
              <w:rPr>
                <w:sz w:val="28"/>
                <w:szCs w:val="28"/>
              </w:rPr>
              <w:t>Відсутні</w:t>
            </w:r>
          </w:p>
          <w:p w:rsidR="00D91472" w:rsidRPr="00055688" w:rsidRDefault="00C25F8C" w:rsidP="00F116B6">
            <w:pPr>
              <w:pStyle w:val="a3"/>
              <w:widowControl w:val="0"/>
              <w:tabs>
                <w:tab w:val="left" w:pos="990"/>
                <w:tab w:val="left" w:pos="1142"/>
              </w:tabs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b w:val="0"/>
              </w:rPr>
              <w:t>Відсутні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D91472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держави:</w:t>
            </w:r>
          </w:p>
          <w:p w:rsidR="0055234A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  <w:p w:rsidR="00D91472" w:rsidRPr="0055234A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color w:val="000000"/>
                <w:sz w:val="28"/>
                <w:szCs w:val="28"/>
              </w:rPr>
              <w:t>Залишається неврегульованість відносин у сфері раціонального користування надрами та інших галузях процесу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:rsidR="00D91472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Така альтернатива не сприятиме досягненню цілей державного регулювання.</w:t>
            </w:r>
          </w:p>
        </w:tc>
      </w:tr>
      <w:tr w:rsidR="00D91472">
        <w:tc>
          <w:tcPr>
            <w:tcW w:w="2430" w:type="dxa"/>
            <w:tcBorders>
              <w:bottom w:val="single" w:sz="4" w:space="0" w:color="000000"/>
            </w:tcBorders>
          </w:tcPr>
          <w:p w:rsidR="00D91472" w:rsidRDefault="00C25F8C" w:rsidP="0061013E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2.</w:t>
            </w:r>
          </w:p>
          <w:p w:rsidR="00D91472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Pr="00055688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держави: </w:t>
            </w:r>
            <w:r>
              <w:rPr>
                <w:sz w:val="28"/>
                <w:szCs w:val="28"/>
              </w:rPr>
              <w:t xml:space="preserve">Підвищення прозорості, інвестиційної привабливості у сфері </w:t>
            </w:r>
            <w:proofErr w:type="spellStart"/>
            <w:r>
              <w:rPr>
                <w:sz w:val="28"/>
                <w:szCs w:val="28"/>
              </w:rPr>
              <w:lastRenderedPageBreak/>
              <w:t>надрокористування</w:t>
            </w:r>
            <w:proofErr w:type="spellEnd"/>
            <w:r>
              <w:rPr>
                <w:sz w:val="28"/>
                <w:szCs w:val="28"/>
              </w:rPr>
              <w:t>, раціональне та комплексне користування надрами, а також визначення напрямів подальшого геологічного вивчення корисних копалин загальнодержавного та місцевого значення</w:t>
            </w:r>
          </w:p>
          <w:p w:rsidR="00D91472" w:rsidRDefault="00D91472" w:rsidP="00F116B6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</w:rPr>
            </w:pPr>
          </w:p>
          <w:p w:rsidR="00D91472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суб’єктів господарювання:</w:t>
            </w:r>
          </w:p>
          <w:p w:rsidR="00D91472" w:rsidRDefault="00C25F8C" w:rsidP="00F11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забезпечить:</w:t>
            </w:r>
          </w:p>
          <w:p w:rsidR="00D91472" w:rsidRDefault="00C25F8C" w:rsidP="00F11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актуалізацію та доповнення Переліків корисних копалин з метою отримання спеціального дозволу на користування надрами;</w:t>
            </w:r>
          </w:p>
          <w:p w:rsidR="00D91472" w:rsidRDefault="00C25F8C" w:rsidP="00F11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напрямів подальшого геологічного вивчення корисних копалин загальнодержавного та місцевого значення;</w:t>
            </w:r>
          </w:p>
          <w:p w:rsidR="00D91472" w:rsidRDefault="00C25F8C" w:rsidP="00F11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використання технологічних процесів розвідки та видобутку корисних копалин що впливатимуть на значення певних </w:t>
            </w:r>
            <w:r>
              <w:rPr>
                <w:sz w:val="28"/>
                <w:szCs w:val="28"/>
              </w:rPr>
              <w:lastRenderedPageBreak/>
              <w:t>корисних копалин та їхню потребу.</w:t>
            </w:r>
          </w:p>
        </w:tc>
        <w:tc>
          <w:tcPr>
            <w:tcW w:w="2608" w:type="dxa"/>
            <w:gridSpan w:val="2"/>
            <w:tcBorders>
              <w:bottom w:val="single" w:sz="4" w:space="0" w:color="000000"/>
            </w:tcBorders>
          </w:tcPr>
          <w:p w:rsidR="00D91472" w:rsidRDefault="00C25F8C" w:rsidP="00F116B6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Для держави:</w:t>
            </w:r>
            <w:r>
              <w:rPr>
                <w:sz w:val="28"/>
                <w:szCs w:val="28"/>
              </w:rPr>
              <w:t xml:space="preserve"> </w:t>
            </w:r>
          </w:p>
          <w:p w:rsidR="00D91472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Default="00C25F8C" w:rsidP="0055234A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суб’єктів господарювання:</w:t>
            </w:r>
          </w:p>
          <w:p w:rsidR="00D91472" w:rsidRDefault="00C25F8C" w:rsidP="00934E2A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D91472" w:rsidRDefault="00C25F8C" w:rsidP="00934E2A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 w:rsidR="00D91472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Дана альтернатива забезпечує </w:t>
            </w:r>
            <w:proofErr w:type="spellStart"/>
            <w:r>
              <w:rPr>
                <w:sz w:val="28"/>
                <w:szCs w:val="28"/>
              </w:rPr>
              <w:t>врегульовання</w:t>
            </w:r>
            <w:proofErr w:type="spellEnd"/>
            <w:r>
              <w:rPr>
                <w:sz w:val="28"/>
                <w:szCs w:val="28"/>
              </w:rPr>
              <w:t xml:space="preserve"> відносин  у сфері </w:t>
            </w:r>
            <w:r>
              <w:rPr>
                <w:sz w:val="28"/>
                <w:szCs w:val="28"/>
              </w:rPr>
              <w:lastRenderedPageBreak/>
              <w:t xml:space="preserve">геологічного вивчення та раціонального користування надрами та потребу у доповненні </w:t>
            </w:r>
            <w:r>
              <w:rPr>
                <w:sz w:val="28"/>
                <w:szCs w:val="28"/>
                <w:highlight w:val="white"/>
              </w:rPr>
              <w:t xml:space="preserve">Переліків корисних копалин </w:t>
            </w:r>
            <w:proofErr w:type="spellStart"/>
            <w:r>
              <w:rPr>
                <w:sz w:val="28"/>
                <w:szCs w:val="28"/>
                <w:highlight w:val="white"/>
              </w:rPr>
              <w:t>загальнодердавного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та місцевого значення</w:t>
            </w:r>
          </w:p>
        </w:tc>
      </w:tr>
      <w:tr w:rsidR="00D91472"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-3686"/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-3686"/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Default="00D91472" w:rsidP="00F116B6">
            <w:pPr>
              <w:widowControl w:val="0"/>
              <w:tabs>
                <w:tab w:val="left" w:pos="-3686"/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</w:tr>
      <w:tr w:rsidR="00D91472">
        <w:tc>
          <w:tcPr>
            <w:tcW w:w="2430" w:type="dxa"/>
            <w:tcBorders>
              <w:top w:val="single" w:sz="4" w:space="0" w:color="000000"/>
            </w:tcBorders>
          </w:tcPr>
          <w:p w:rsidR="00D91472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</w:tcBorders>
          </w:tcPr>
          <w:p w:rsidR="00D91472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</w:tcBorders>
          </w:tcPr>
          <w:p w:rsidR="00D91472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ризику зовнішніх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чинників на дію запропонованого регуляторного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D91472">
        <w:tc>
          <w:tcPr>
            <w:tcW w:w="2430" w:type="dxa"/>
          </w:tcPr>
          <w:p w:rsidR="00D91472" w:rsidRDefault="00C25F8C" w:rsidP="000A05A8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1.</w:t>
            </w:r>
          </w:p>
          <w:p w:rsidR="00D91472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</w:tcPr>
          <w:p w:rsidR="00D91472" w:rsidRDefault="00C25F8C" w:rsidP="00695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Переваги відсутні. Така альтернатива не сприятиме досягненню цілей державного регулювання. Залишаються проблеми, зазначені у Розділі 1 Аналізу.</w:t>
            </w:r>
          </w:p>
        </w:tc>
        <w:tc>
          <w:tcPr>
            <w:tcW w:w="3982" w:type="dxa"/>
            <w:gridSpan w:val="2"/>
          </w:tcPr>
          <w:p w:rsidR="00D91472" w:rsidRDefault="00C25F8C" w:rsidP="00BB0DDD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Відсутні.</w:t>
            </w:r>
          </w:p>
        </w:tc>
      </w:tr>
      <w:tr w:rsidR="00D91472">
        <w:tc>
          <w:tcPr>
            <w:tcW w:w="2430" w:type="dxa"/>
          </w:tcPr>
          <w:p w:rsidR="00D91472" w:rsidRDefault="00C25F8C" w:rsidP="000A05A8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D91472" w:rsidRDefault="00C25F8C" w:rsidP="00695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>
              <w:rPr>
                <w:sz w:val="28"/>
                <w:szCs w:val="28"/>
              </w:rPr>
              <w:t>надрокористування</w:t>
            </w:r>
            <w:proofErr w:type="spellEnd"/>
            <w:r>
              <w:rPr>
                <w:sz w:val="28"/>
                <w:szCs w:val="28"/>
              </w:rPr>
              <w:t xml:space="preserve">, та покращенню інвестиційних показників. </w:t>
            </w:r>
          </w:p>
        </w:tc>
        <w:tc>
          <w:tcPr>
            <w:tcW w:w="3982" w:type="dxa"/>
            <w:gridSpan w:val="2"/>
          </w:tcPr>
          <w:p w:rsidR="00D91472" w:rsidRDefault="00C25F8C" w:rsidP="00BB0DDD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Ризик зовнішніх чинників на дію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відсутній.</w:t>
            </w:r>
          </w:p>
        </w:tc>
      </w:tr>
    </w:tbl>
    <w:p w:rsidR="00D91472" w:rsidRDefault="00D91472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b/>
          <w:sz w:val="28"/>
          <w:szCs w:val="28"/>
        </w:rPr>
      </w:pPr>
    </w:p>
    <w:p w:rsidR="00D91472" w:rsidRDefault="00C25F8C" w:rsidP="0067738B">
      <w:pPr>
        <w:widowControl w:val="0"/>
        <w:tabs>
          <w:tab w:val="left" w:pos="-3686"/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 Механізм та заходи, які забезпечать розв’язання визначеної проблеми</w:t>
      </w:r>
    </w:p>
    <w:p w:rsidR="00D91472" w:rsidRDefault="00C25F8C" w:rsidP="0067738B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bookmarkStart w:id="8" w:name="2s8eyo1" w:colFirst="0" w:colLast="0"/>
      <w:bookmarkStart w:id="9" w:name="26in1rg" w:colFirst="0" w:colLast="0"/>
      <w:bookmarkStart w:id="10" w:name="2jxsxqh" w:colFirst="0" w:colLast="0"/>
      <w:bookmarkStart w:id="11" w:name="17dp8vu" w:colFirst="0" w:colLast="0"/>
      <w:bookmarkStart w:id="12" w:name="3rdcrjn" w:colFirst="0" w:colLast="0"/>
      <w:bookmarkStart w:id="13" w:name="z337ya" w:colFirst="0" w:colLast="0"/>
      <w:bookmarkStart w:id="14" w:name="1ksv4uv" w:colFirst="0" w:colLast="0"/>
      <w:bookmarkStart w:id="15" w:name="35nkun2" w:colFirst="0" w:colLast="0"/>
      <w:bookmarkStart w:id="16" w:name="lnxbz9" w:colFirst="0" w:colLast="0"/>
      <w:bookmarkStart w:id="17" w:name="44sinio" w:colFirst="0" w:colLast="0"/>
      <w:bookmarkStart w:id="18" w:name="4d34og8" w:colFirst="0" w:colLast="0"/>
      <w:bookmarkStart w:id="19" w:name="1t3h5sf" w:colFirst="0" w:colLast="0"/>
      <w:bookmarkStart w:id="20" w:name="_3j2qqm3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sz w:val="28"/>
          <w:szCs w:val="28"/>
        </w:rPr>
        <w:t xml:space="preserve">Механізмом, який забезпечить розв’язання проблеми є прийняття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, що в свою чергу забезпечить:</w:t>
      </w:r>
    </w:p>
    <w:p w:rsidR="00D91472" w:rsidRDefault="00C25F8C" w:rsidP="006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створення прозорих механізмів отримання спеціальних дозволів на користування надрами, що надаватимуться у користування що визначені Переліками корисних копалин;</w:t>
      </w:r>
    </w:p>
    <w:p w:rsidR="00D91472" w:rsidRDefault="00C25F8C" w:rsidP="006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інвестиційної привабливості видобувної галузі держави;</w:t>
      </w:r>
    </w:p>
    <w:p w:rsidR="00D91472" w:rsidRDefault="00C25F8C" w:rsidP="006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відкритість та прозорість сфери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>;</w:t>
      </w:r>
    </w:p>
    <w:p w:rsidR="00D91472" w:rsidRDefault="00C25F8C" w:rsidP="006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конкурентоздатність у сфері </w:t>
      </w:r>
      <w:proofErr w:type="spellStart"/>
      <w:r>
        <w:rPr>
          <w:sz w:val="28"/>
          <w:szCs w:val="28"/>
        </w:rPr>
        <w:t>надрокористування</w:t>
      </w:r>
      <w:proofErr w:type="spellEnd"/>
      <w:r>
        <w:rPr>
          <w:sz w:val="28"/>
          <w:szCs w:val="28"/>
        </w:rPr>
        <w:t xml:space="preserve"> (якість, інноваційні технології,  ефективність виробництва та здатність  відповідати потребам споживачів)</w:t>
      </w:r>
    </w:p>
    <w:p w:rsidR="00D91472" w:rsidRDefault="00C25F8C" w:rsidP="0067738B">
      <w:pPr>
        <w:widowControl w:val="0"/>
        <w:numPr>
          <w:ilvl w:val="0"/>
          <w:numId w:val="1"/>
        </w:num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Організаційні заходи для впровадження регулювання:</w:t>
      </w:r>
    </w:p>
    <w:p w:rsidR="00D91472" w:rsidRDefault="00C25F8C" w:rsidP="0067738B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впровадження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необхідно забезпечити погодження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із </w:t>
      </w:r>
      <w:proofErr w:type="spellStart"/>
      <w:r>
        <w:rPr>
          <w:sz w:val="28"/>
          <w:szCs w:val="28"/>
        </w:rPr>
        <w:t>заінтересованми</w:t>
      </w:r>
      <w:proofErr w:type="spellEnd"/>
      <w:r>
        <w:rPr>
          <w:sz w:val="28"/>
          <w:szCs w:val="28"/>
        </w:rPr>
        <w:t xml:space="preserve"> органами, подання його на </w:t>
      </w:r>
      <w:proofErr w:type="spellStart"/>
      <w:r>
        <w:rPr>
          <w:sz w:val="28"/>
          <w:szCs w:val="28"/>
        </w:rPr>
        <w:t>розгяд</w:t>
      </w:r>
      <w:proofErr w:type="spellEnd"/>
      <w:r>
        <w:rPr>
          <w:sz w:val="28"/>
          <w:szCs w:val="28"/>
        </w:rPr>
        <w:t xml:space="preserve"> Кабінету Міністрів України, інформування </w:t>
      </w:r>
      <w:proofErr w:type="spellStart"/>
      <w:r>
        <w:rPr>
          <w:sz w:val="28"/>
          <w:szCs w:val="28"/>
        </w:rPr>
        <w:t>надрокористувачів</w:t>
      </w:r>
      <w:proofErr w:type="spellEnd"/>
      <w:r>
        <w:rPr>
          <w:sz w:val="28"/>
          <w:szCs w:val="28"/>
        </w:rPr>
        <w:t xml:space="preserve"> про вимоги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шляхом його оприлюднення у офіційних виданнях – Офіційному віснику України та газеті «Урядовий кур’єр».</w:t>
      </w:r>
    </w:p>
    <w:p w:rsidR="00D91472" w:rsidRDefault="00C25F8C">
      <w:pPr>
        <w:widowControl w:val="0"/>
        <w:numPr>
          <w:ilvl w:val="0"/>
          <w:numId w:val="1"/>
        </w:num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Заходи, які необхідно здійснити суб’єктам господарської діяльності:</w:t>
      </w:r>
    </w:p>
    <w:p w:rsidR="00D91472" w:rsidRDefault="00C25F8C">
      <w:pPr>
        <w:widowControl w:val="0"/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Ознайомитися з вимогами регулювання (пошук та опрацювання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мережі Інтернет).</w:t>
      </w:r>
    </w:p>
    <w:p w:rsidR="00D91472" w:rsidRDefault="00D91472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-3686"/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 Оцінка виконання вимог регуляторного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D91472" w:rsidRDefault="00C25F8C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D91472" w:rsidRDefault="00C25F8C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D91472" w:rsidRDefault="00C25F8C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bookmarkStart w:id="21" w:name="_1y810tw" w:colFirst="0" w:colLast="0"/>
      <w:bookmarkEnd w:id="21"/>
      <w:r>
        <w:rPr>
          <w:sz w:val="28"/>
          <w:szCs w:val="28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D91472" w:rsidRDefault="00C25F8C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розрахунок витрат суб’єктів малого (мікро) підприємництва в межах даного аналізу.</w:t>
      </w:r>
    </w:p>
    <w:p w:rsidR="00D91472" w:rsidRDefault="00D91472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 Обґрунтування запропонованого строку дії регуляторного </w:t>
      </w:r>
      <w:proofErr w:type="spellStart"/>
      <w:r>
        <w:rPr>
          <w:b/>
          <w:sz w:val="28"/>
          <w:szCs w:val="28"/>
        </w:rPr>
        <w:t>акта</w:t>
      </w:r>
      <w:proofErr w:type="spellEnd"/>
    </w:p>
    <w:p w:rsidR="00D91472" w:rsidRDefault="00C25F8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Строк дії цього регуляторного </w:t>
      </w:r>
      <w:proofErr w:type="spellStart"/>
      <w:r>
        <w:rPr>
          <w:sz w:val="28"/>
          <w:szCs w:val="28"/>
          <w:highlight w:val="white"/>
        </w:rPr>
        <w:t>акта</w:t>
      </w:r>
      <w:proofErr w:type="spellEnd"/>
      <w:r>
        <w:rPr>
          <w:sz w:val="28"/>
          <w:szCs w:val="28"/>
          <w:highlight w:val="white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>
        <w:rPr>
          <w:sz w:val="28"/>
          <w:szCs w:val="28"/>
          <w:highlight w:val="white"/>
        </w:rPr>
        <w:t>акта</w:t>
      </w:r>
      <w:proofErr w:type="spellEnd"/>
      <w:r>
        <w:rPr>
          <w:sz w:val="28"/>
          <w:szCs w:val="28"/>
          <w:highlight w:val="white"/>
        </w:rPr>
        <w:t xml:space="preserve"> є постійною.</w:t>
      </w:r>
    </w:p>
    <w:p w:rsidR="00D91472" w:rsidRDefault="00D91472">
      <w:pPr>
        <w:ind w:firstLine="709"/>
        <w:jc w:val="both"/>
        <w:rPr>
          <w:sz w:val="28"/>
          <w:szCs w:val="28"/>
          <w:highlight w:val="white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VIII. Визначення показників результативності дії регуляторного </w:t>
      </w:r>
      <w:proofErr w:type="spellStart"/>
      <w:r>
        <w:rPr>
          <w:b/>
          <w:sz w:val="28"/>
          <w:szCs w:val="28"/>
        </w:rPr>
        <w:t>акта</w:t>
      </w:r>
      <w:proofErr w:type="spellEnd"/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Прогнозними значеннями показників результативності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є: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  – не прогнозуються. 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Кількість суб’єктів господарювання: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суб’єктів господарювання великого і середнього підприємництва – 226;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суб’єктів господарювання малого та мікро підприємництва – 2074.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– низький.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: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одного суб’єкта господарювання великого і середнього підприємництва: 24,0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грн.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одного суб’єкта господарювання малого та мікро підприємництва: </w:t>
      </w:r>
      <w:r>
        <w:rPr>
          <w:sz w:val="28"/>
          <w:szCs w:val="28"/>
        </w:rPr>
        <w:br/>
        <w:t>24,0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грн.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5.Кількість часу, який витрачатиметься суб’єктом господарювання у зв’язку із виконанням вимог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:</w:t>
      </w:r>
    </w:p>
    <w:p w:rsidR="00D91472" w:rsidRDefault="00C25F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одного суб’єкта господарювання великого і середнього підприємництва: 0,5 год.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одного суб’єкта господарювання малого та мікро підприємництва: 0,5 год.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Рівень поінформованості суб’єктів господарювання і фізичних осіб – високий.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та відповідний аналіз регуляторного впливу оприлюднено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Держгеонадр</w:t>
      </w:r>
      <w:proofErr w:type="spellEnd"/>
      <w:r>
        <w:rPr>
          <w:sz w:val="28"/>
          <w:szCs w:val="28"/>
        </w:rPr>
        <w:t>.</w:t>
      </w:r>
    </w:p>
    <w:p w:rsidR="00D91472" w:rsidRDefault="00C25F8C" w:rsidP="0082138A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Після прийняття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він буде опублікований в офіційних виданнях – Офіційному віснику України та газеті «Урядовий кур’єр».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Додатковими показниками результативності запровадження регуляторного </w:t>
      </w:r>
      <w:proofErr w:type="spellStart"/>
      <w:r>
        <w:rPr>
          <w:sz w:val="28"/>
          <w:szCs w:val="28"/>
          <w:u w:val="single"/>
        </w:rPr>
        <w:t>акта</w:t>
      </w:r>
      <w:proofErr w:type="spellEnd"/>
      <w:r>
        <w:rPr>
          <w:sz w:val="28"/>
          <w:szCs w:val="28"/>
          <w:u w:val="single"/>
        </w:rPr>
        <w:t xml:space="preserve">, виходячи з його цілей, слугуватимуть: 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наданих спеціальних дозволів на користування надрами що визначені Переліками корисних копалин загального та місцевого значення.</w:t>
      </w:r>
    </w:p>
    <w:p w:rsidR="00D91472" w:rsidRDefault="00D91472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b/>
          <w:sz w:val="28"/>
          <w:szCs w:val="28"/>
        </w:rPr>
        <w:t>акта</w:t>
      </w:r>
      <w:proofErr w:type="spellEnd"/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Відстеження результативності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здійснюватиметься шляхом проведення базового, повторного та періодичного </w:t>
      </w:r>
      <w:proofErr w:type="spellStart"/>
      <w:r>
        <w:rPr>
          <w:sz w:val="28"/>
          <w:szCs w:val="28"/>
        </w:rPr>
        <w:t>відстежень</w:t>
      </w:r>
      <w:proofErr w:type="spellEnd"/>
      <w:r>
        <w:rPr>
          <w:sz w:val="28"/>
          <w:szCs w:val="28"/>
        </w:rPr>
        <w:t xml:space="preserve"> статистичних показників результативності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, визначених під час проведення аналізу впливу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. 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Базове відстеження результативності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. 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Повторне відстеження результативності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здійснюватиметься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Періодичне відстеження результативності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D91472" w:rsidRDefault="00C25F8C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Відстеження результативності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здійснюватись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Держгеонадрами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шляхом розгляду пропозицій та зауважень, які надійдуть до нього.</w:t>
      </w:r>
    </w:p>
    <w:p w:rsidR="007B5BDE" w:rsidRDefault="007B5BDE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7B5BDE" w:rsidRDefault="007B5BDE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Державної служби</w:t>
      </w:r>
    </w:p>
    <w:p w:rsidR="00D91472" w:rsidRDefault="00C25F8C">
      <w:pPr>
        <w:widowControl w:val="0"/>
        <w:tabs>
          <w:tab w:val="left" w:pos="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геології та надр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ОПІМАХ</w:t>
      </w:r>
    </w:p>
    <w:p w:rsidR="00D91472" w:rsidRDefault="00D91472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D91472" w:rsidRDefault="00C25F8C">
      <w:pPr>
        <w:widowControl w:val="0"/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 ______________2024</w:t>
      </w:r>
    </w:p>
    <w:p w:rsidR="00D91472" w:rsidRDefault="00D91472"/>
    <w:sectPr w:rsidR="00D91472" w:rsidSect="003D797B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01" w:rsidRDefault="00997B01">
      <w:r>
        <w:separator/>
      </w:r>
    </w:p>
  </w:endnote>
  <w:endnote w:type="continuationSeparator" w:id="0">
    <w:p w:rsidR="00997B01" w:rsidRDefault="0099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TT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01" w:rsidRDefault="00997B01">
      <w:r>
        <w:separator/>
      </w:r>
    </w:p>
  </w:footnote>
  <w:footnote w:type="continuationSeparator" w:id="0">
    <w:p w:rsidR="00997B01" w:rsidRDefault="0099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72" w:rsidRDefault="00C25F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1472" w:rsidRDefault="00D914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8526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32D5" w:rsidRDefault="007F32D5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98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91472" w:rsidRDefault="00D914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33"/>
    <w:multiLevelType w:val="multilevel"/>
    <w:tmpl w:val="65F03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E50"/>
    <w:multiLevelType w:val="hybridMultilevel"/>
    <w:tmpl w:val="2A3C82CC"/>
    <w:lvl w:ilvl="0" w:tplc="3698D3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E76B4A"/>
    <w:multiLevelType w:val="multilevel"/>
    <w:tmpl w:val="A9F6E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066D37"/>
    <w:multiLevelType w:val="multilevel"/>
    <w:tmpl w:val="5F7C85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2"/>
    <w:rsid w:val="00003C03"/>
    <w:rsid w:val="00055688"/>
    <w:rsid w:val="000654C9"/>
    <w:rsid w:val="00096BB6"/>
    <w:rsid w:val="000A05A8"/>
    <w:rsid w:val="000C3743"/>
    <w:rsid w:val="000C5042"/>
    <w:rsid w:val="000F7482"/>
    <w:rsid w:val="00105646"/>
    <w:rsid w:val="0018764C"/>
    <w:rsid w:val="001E3E1D"/>
    <w:rsid w:val="0021229E"/>
    <w:rsid w:val="00297E78"/>
    <w:rsid w:val="002D35FE"/>
    <w:rsid w:val="002D47B9"/>
    <w:rsid w:val="00333E91"/>
    <w:rsid w:val="0035197E"/>
    <w:rsid w:val="003543FF"/>
    <w:rsid w:val="00384933"/>
    <w:rsid w:val="003922AD"/>
    <w:rsid w:val="003D797B"/>
    <w:rsid w:val="004149FF"/>
    <w:rsid w:val="00436D88"/>
    <w:rsid w:val="004420DA"/>
    <w:rsid w:val="00533512"/>
    <w:rsid w:val="0055234A"/>
    <w:rsid w:val="005A06CB"/>
    <w:rsid w:val="005A49FA"/>
    <w:rsid w:val="005B27FE"/>
    <w:rsid w:val="005B5385"/>
    <w:rsid w:val="005C19F4"/>
    <w:rsid w:val="0061013E"/>
    <w:rsid w:val="00623D59"/>
    <w:rsid w:val="0062513D"/>
    <w:rsid w:val="006538CD"/>
    <w:rsid w:val="0067738B"/>
    <w:rsid w:val="0068517D"/>
    <w:rsid w:val="006955A8"/>
    <w:rsid w:val="006D6F83"/>
    <w:rsid w:val="006F2F14"/>
    <w:rsid w:val="006F7986"/>
    <w:rsid w:val="007405EA"/>
    <w:rsid w:val="00785DF4"/>
    <w:rsid w:val="007977F4"/>
    <w:rsid w:val="007A1BA1"/>
    <w:rsid w:val="007B5BDE"/>
    <w:rsid w:val="007C187B"/>
    <w:rsid w:val="007D5774"/>
    <w:rsid w:val="007F32D5"/>
    <w:rsid w:val="0082138A"/>
    <w:rsid w:val="00830D44"/>
    <w:rsid w:val="00892280"/>
    <w:rsid w:val="008C2D73"/>
    <w:rsid w:val="008D3A1E"/>
    <w:rsid w:val="00920DF6"/>
    <w:rsid w:val="00934E2A"/>
    <w:rsid w:val="00974414"/>
    <w:rsid w:val="009844AF"/>
    <w:rsid w:val="009845EB"/>
    <w:rsid w:val="0098676C"/>
    <w:rsid w:val="00997B01"/>
    <w:rsid w:val="009C232E"/>
    <w:rsid w:val="009E7095"/>
    <w:rsid w:val="00A126D5"/>
    <w:rsid w:val="00AB0936"/>
    <w:rsid w:val="00AE6049"/>
    <w:rsid w:val="00B3250A"/>
    <w:rsid w:val="00B35B81"/>
    <w:rsid w:val="00BB0DDD"/>
    <w:rsid w:val="00BC59C0"/>
    <w:rsid w:val="00BC7FC4"/>
    <w:rsid w:val="00BE4DFA"/>
    <w:rsid w:val="00BF0023"/>
    <w:rsid w:val="00BF0DCE"/>
    <w:rsid w:val="00BF21B8"/>
    <w:rsid w:val="00BF7EE3"/>
    <w:rsid w:val="00C13910"/>
    <w:rsid w:val="00C25F8C"/>
    <w:rsid w:val="00C2791E"/>
    <w:rsid w:val="00C45FF4"/>
    <w:rsid w:val="00C50978"/>
    <w:rsid w:val="00C7285A"/>
    <w:rsid w:val="00C75988"/>
    <w:rsid w:val="00CC5D4A"/>
    <w:rsid w:val="00CD069A"/>
    <w:rsid w:val="00D041D1"/>
    <w:rsid w:val="00D72D60"/>
    <w:rsid w:val="00D850B4"/>
    <w:rsid w:val="00D91472"/>
    <w:rsid w:val="00DC3DEC"/>
    <w:rsid w:val="00DC5002"/>
    <w:rsid w:val="00DE7678"/>
    <w:rsid w:val="00E0698F"/>
    <w:rsid w:val="00E1049D"/>
    <w:rsid w:val="00E424A6"/>
    <w:rsid w:val="00E70298"/>
    <w:rsid w:val="00E92E0F"/>
    <w:rsid w:val="00E9675C"/>
    <w:rsid w:val="00EB01A6"/>
    <w:rsid w:val="00F116B6"/>
    <w:rsid w:val="00F21CD0"/>
    <w:rsid w:val="00F35B3F"/>
    <w:rsid w:val="00F51F3D"/>
    <w:rsid w:val="00F77431"/>
    <w:rsid w:val="00F83244"/>
    <w:rsid w:val="00FA41F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3B72"/>
  <w15:docId w15:val="{5270C9B6-5484-47CF-9D69-FA9335DD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PetersburgTT" w:eastAsia="PetersburgTT" w:hAnsi="PetersburgTT" w:cs="PetersburgTT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footer"/>
    <w:basedOn w:val="a"/>
    <w:link w:val="af1"/>
    <w:uiPriority w:val="99"/>
    <w:unhideWhenUsed/>
    <w:rsid w:val="002D47B9"/>
    <w:pPr>
      <w:tabs>
        <w:tab w:val="center" w:pos="4986"/>
        <w:tab w:val="right" w:pos="9973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47B9"/>
  </w:style>
  <w:style w:type="paragraph" w:styleId="af2">
    <w:name w:val="header"/>
    <w:basedOn w:val="a"/>
    <w:link w:val="af3"/>
    <w:uiPriority w:val="99"/>
    <w:unhideWhenUsed/>
    <w:rsid w:val="002D47B9"/>
    <w:pPr>
      <w:tabs>
        <w:tab w:val="center" w:pos="4986"/>
        <w:tab w:val="right" w:pos="9973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47B9"/>
  </w:style>
  <w:style w:type="paragraph" w:styleId="af4">
    <w:name w:val="List Paragraph"/>
    <w:basedOn w:val="a"/>
    <w:uiPriority w:val="34"/>
    <w:qFormat/>
    <w:rsid w:val="0038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3414</Words>
  <Characters>19462</Characters>
  <Application>Microsoft Office Word</Application>
  <DocSecurity>0</DocSecurity>
  <Lines>162</Lines>
  <Paragraphs>45</Paragraphs>
  <ScaleCrop>false</ScaleCrop>
  <Company/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Лісковацька Мар'яна Миколаївна</cp:lastModifiedBy>
  <cp:revision>352</cp:revision>
  <dcterms:created xsi:type="dcterms:W3CDTF">2024-11-07T09:29:00Z</dcterms:created>
  <dcterms:modified xsi:type="dcterms:W3CDTF">2024-11-07T13:55:00Z</dcterms:modified>
</cp:coreProperties>
</file>