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C82" w:rsidRPr="00D55C82" w:rsidRDefault="00D55C82" w:rsidP="00AD6976">
      <w:pPr>
        <w:pBdr>
          <w:top w:val="nil"/>
          <w:left w:val="nil"/>
          <w:bottom w:val="nil"/>
          <w:right w:val="nil"/>
          <w:between w:val="nil"/>
        </w:pBdr>
        <w:spacing w:after="0" w:line="276" w:lineRule="auto"/>
        <w:ind w:left="6379"/>
        <w:rPr>
          <w:rFonts w:ascii="Times New Roman" w:hAnsi="Times New Roman" w:cs="Times New Roman"/>
          <w:color w:val="000000"/>
          <w:sz w:val="24"/>
          <w:szCs w:val="24"/>
        </w:rPr>
      </w:pPr>
      <w:r w:rsidRPr="00D55C82">
        <w:rPr>
          <w:rFonts w:ascii="Times New Roman" w:hAnsi="Times New Roman" w:cs="Times New Roman"/>
          <w:color w:val="000000"/>
          <w:sz w:val="24"/>
          <w:szCs w:val="24"/>
        </w:rPr>
        <w:t xml:space="preserve">Додаток </w:t>
      </w:r>
      <w:r w:rsidR="006153DF">
        <w:rPr>
          <w:rFonts w:ascii="Times New Roman" w:hAnsi="Times New Roman" w:cs="Times New Roman"/>
          <w:color w:val="000000"/>
          <w:sz w:val="24"/>
          <w:szCs w:val="24"/>
        </w:rPr>
        <w:t>12</w:t>
      </w:r>
      <w:r w:rsidRPr="00D55C82">
        <w:rPr>
          <w:rFonts w:ascii="Times New Roman" w:hAnsi="Times New Roman" w:cs="Times New Roman"/>
          <w:color w:val="000000"/>
          <w:sz w:val="24"/>
          <w:szCs w:val="24"/>
        </w:rPr>
        <w:t xml:space="preserve"> </w:t>
      </w:r>
    </w:p>
    <w:p w:rsidR="00D55C82" w:rsidRPr="00D55C82" w:rsidRDefault="00D55C82" w:rsidP="00AD6976">
      <w:pPr>
        <w:shd w:val="clear" w:color="auto" w:fill="FFFFFF"/>
        <w:spacing w:after="0" w:line="276" w:lineRule="auto"/>
        <w:ind w:left="6379" w:right="450"/>
        <w:textAlignment w:val="baseline"/>
        <w:rPr>
          <w:rFonts w:ascii="Times New Roman" w:hAnsi="Times New Roman" w:cs="Times New Roman"/>
          <w:color w:val="000000"/>
          <w:sz w:val="24"/>
          <w:szCs w:val="24"/>
        </w:rPr>
      </w:pPr>
      <w:r w:rsidRPr="00D55C82">
        <w:rPr>
          <w:rFonts w:ascii="Times New Roman" w:hAnsi="Times New Roman" w:cs="Times New Roman"/>
          <w:color w:val="000000"/>
          <w:sz w:val="24"/>
          <w:szCs w:val="24"/>
        </w:rPr>
        <w:t xml:space="preserve">до </w:t>
      </w:r>
      <w:r w:rsidR="00AD6976">
        <w:rPr>
          <w:rFonts w:ascii="Times New Roman" w:hAnsi="Times New Roman" w:cs="Times New Roman"/>
          <w:color w:val="000000"/>
          <w:sz w:val="24"/>
          <w:szCs w:val="24"/>
        </w:rPr>
        <w:t>критеріїв</w:t>
      </w:r>
    </w:p>
    <w:p w:rsidR="00CE69A5" w:rsidRDefault="00CE69A5">
      <w:pPr>
        <w:spacing w:after="0" w:line="240" w:lineRule="auto"/>
        <w:jc w:val="center"/>
        <w:rPr>
          <w:rFonts w:ascii="Times New Roman" w:eastAsia="Times New Roman" w:hAnsi="Times New Roman" w:cs="Times New Roman"/>
          <w:b/>
          <w:color w:val="000000"/>
          <w:sz w:val="28"/>
          <w:szCs w:val="28"/>
          <w:highlight w:val="white"/>
        </w:rPr>
      </w:pPr>
    </w:p>
    <w:p w:rsidR="00AD6976" w:rsidRDefault="00AD6976" w:rsidP="00486B84">
      <w:pPr>
        <w:jc w:val="center"/>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 xml:space="preserve">ПЕРЕЛІК </w:t>
      </w:r>
    </w:p>
    <w:p w:rsidR="00486B84" w:rsidRPr="00486B84" w:rsidRDefault="0089596A" w:rsidP="00486B84">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highlight w:val="white"/>
        </w:rPr>
        <w:t xml:space="preserve">критеріїв, </w:t>
      </w:r>
      <w:r w:rsidR="005F14D3" w:rsidRPr="005F14D3">
        <w:rPr>
          <w:rFonts w:ascii="Times New Roman" w:eastAsia="Times New Roman" w:hAnsi="Times New Roman" w:cs="Times New Roman"/>
          <w:b/>
          <w:color w:val="000000"/>
          <w:sz w:val="28"/>
          <w:szCs w:val="28"/>
          <w:highlight w:val="white"/>
        </w:rPr>
        <w:t>за якими оцінюється ступінь ризику від провадження господарської</w:t>
      </w:r>
      <w:r w:rsidR="009E4417">
        <w:rPr>
          <w:rFonts w:ascii="Times New Roman" w:eastAsia="Times New Roman" w:hAnsi="Times New Roman" w:cs="Times New Roman"/>
          <w:b/>
          <w:color w:val="000000"/>
          <w:sz w:val="28"/>
          <w:szCs w:val="28"/>
          <w:highlight w:val="white"/>
        </w:rPr>
        <w:t xml:space="preserve"> діяльності</w:t>
      </w:r>
      <w:r w:rsidR="004D1E1C">
        <w:rPr>
          <w:rFonts w:ascii="Times New Roman" w:eastAsia="Times New Roman" w:hAnsi="Times New Roman" w:cs="Times New Roman"/>
          <w:b/>
          <w:color w:val="000000"/>
          <w:sz w:val="28"/>
          <w:szCs w:val="28"/>
          <w:highlight w:val="white"/>
        </w:rPr>
        <w:t xml:space="preserve"> </w:t>
      </w:r>
      <w:r w:rsidR="004D1E1C" w:rsidRPr="004D1E1C">
        <w:rPr>
          <w:rFonts w:ascii="Times New Roman" w:eastAsia="Times New Roman" w:hAnsi="Times New Roman" w:cs="Times New Roman"/>
          <w:b/>
          <w:color w:val="000000"/>
          <w:sz w:val="28"/>
          <w:szCs w:val="28"/>
        </w:rPr>
        <w:t>у сфері геологічного вивчення та раціонального використання надр</w:t>
      </w:r>
      <w:r w:rsidR="005F14D3">
        <w:rPr>
          <w:rFonts w:ascii="Times New Roman" w:eastAsia="Times New Roman" w:hAnsi="Times New Roman" w:cs="Times New Roman"/>
          <w:b/>
          <w:color w:val="000000"/>
          <w:sz w:val="28"/>
          <w:szCs w:val="28"/>
          <w:highlight w:val="white"/>
        </w:rPr>
        <w:t>, їх показників та</w:t>
      </w:r>
      <w:r>
        <w:rPr>
          <w:rFonts w:ascii="Times New Roman" w:eastAsia="Times New Roman" w:hAnsi="Times New Roman" w:cs="Times New Roman"/>
          <w:b/>
          <w:color w:val="000000"/>
          <w:sz w:val="28"/>
          <w:szCs w:val="28"/>
          <w:highlight w:val="white"/>
        </w:rPr>
        <w:t xml:space="preserve"> кільк</w:t>
      </w:r>
      <w:r w:rsidR="005F14D3">
        <w:rPr>
          <w:rFonts w:ascii="Times New Roman" w:eastAsia="Times New Roman" w:hAnsi="Times New Roman" w:cs="Times New Roman"/>
          <w:b/>
          <w:color w:val="000000"/>
          <w:sz w:val="28"/>
          <w:szCs w:val="28"/>
          <w:highlight w:val="white"/>
        </w:rPr>
        <w:t>ості балів за кожним показником</w:t>
      </w:r>
      <w:r>
        <w:rPr>
          <w:rFonts w:ascii="Times New Roman" w:eastAsia="Times New Roman" w:hAnsi="Times New Roman" w:cs="Times New Roman"/>
          <w:b/>
          <w:color w:val="000000"/>
          <w:sz w:val="28"/>
          <w:szCs w:val="28"/>
          <w:highlight w:val="white"/>
        </w:rPr>
        <w:t xml:space="preserve"> </w:t>
      </w:r>
      <w:r w:rsidR="00486B84" w:rsidRPr="00486B84">
        <w:rPr>
          <w:rFonts w:ascii="Times New Roman" w:eastAsia="Times New Roman" w:hAnsi="Times New Roman" w:cs="Times New Roman"/>
          <w:b/>
          <w:color w:val="000000"/>
          <w:sz w:val="28"/>
          <w:szCs w:val="28"/>
        </w:rPr>
        <w:t>(</w:t>
      </w:r>
      <w:r w:rsidR="00011C11" w:rsidRPr="00011C11">
        <w:rPr>
          <w:rFonts w:ascii="Times New Roman" w:hAnsi="Times New Roman" w:cs="Times New Roman"/>
          <w:b/>
          <w:color w:val="000000"/>
          <w:sz w:val="28"/>
          <w:szCs w:val="28"/>
        </w:rPr>
        <w:t>будівництво та експлуатація підземних споруд, не пов'язаних з видобуванням корисних копалин, у тому числі споруд для підземного зберігання нафти, газу та інших речовин і матеріалів, захоронення шкідливих речовин і відходів виробництва, скидання стічних вод; будівництво та експлуатація підземних споруд, не пов’язаних з видобуванням корисних копалин, у тому числі споруд для підземного зберігання нафти, газу та інших речовин і матеріалів, перелік яких встановлюється Кабінетом Міністрів України, захоронення шкідливих речовин і відходів виробництва, скидання стічних вод, отримання геотермальної енергії (теплової енергії надр), експлуатації підземних споруд, пов’язаної із запобіганням підтопленню навколишнього природного середовища внаслідок закриття шахт</w:t>
      </w:r>
      <w:r w:rsidR="00486B84" w:rsidRPr="00486B84">
        <w:rPr>
          <w:rFonts w:ascii="Times New Roman" w:eastAsia="Times New Roman" w:hAnsi="Times New Roman" w:cs="Times New Roman"/>
          <w:b/>
          <w:color w:val="000000"/>
          <w:sz w:val="28"/>
          <w:szCs w:val="28"/>
        </w:rPr>
        <w:t>)</w:t>
      </w:r>
    </w:p>
    <w:p w:rsidR="004218A0" w:rsidRDefault="004218A0"/>
    <w:tbl>
      <w:tblPr>
        <w:tblStyle w:val="a5"/>
        <w:tblW w:w="935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4536"/>
        <w:gridCol w:w="1278"/>
      </w:tblGrid>
      <w:tr w:rsidR="004218A0" w:rsidRPr="00011C11" w:rsidTr="00011C11">
        <w:tc>
          <w:tcPr>
            <w:tcW w:w="3539" w:type="dxa"/>
            <w:shd w:val="clear" w:color="auto" w:fill="auto"/>
          </w:tcPr>
          <w:p w:rsidR="004218A0" w:rsidRPr="00011C11" w:rsidRDefault="0089596A">
            <w:pPr>
              <w:jc w:val="center"/>
              <w:rPr>
                <w:rFonts w:ascii="Times New Roman" w:eastAsia="Times New Roman" w:hAnsi="Times New Roman" w:cs="Times New Roman"/>
                <w:sz w:val="24"/>
                <w:szCs w:val="24"/>
              </w:rPr>
            </w:pPr>
            <w:r w:rsidRPr="00011C11">
              <w:rPr>
                <w:rFonts w:ascii="Times New Roman" w:eastAsia="Times New Roman" w:hAnsi="Times New Roman" w:cs="Times New Roman"/>
                <w:color w:val="000000"/>
                <w:sz w:val="24"/>
                <w:szCs w:val="24"/>
              </w:rPr>
              <w:t>Критерії, за якими оцінюється ступінь ризику від провадження господарської діяльності та визначається періодичність проведення планових заходів державного нагляду (контролю)</w:t>
            </w:r>
          </w:p>
        </w:tc>
        <w:tc>
          <w:tcPr>
            <w:tcW w:w="4536" w:type="dxa"/>
            <w:shd w:val="clear" w:color="auto" w:fill="auto"/>
          </w:tcPr>
          <w:p w:rsidR="004218A0" w:rsidRPr="00011C11" w:rsidRDefault="0089596A">
            <w:pPr>
              <w:jc w:val="center"/>
              <w:rPr>
                <w:rFonts w:ascii="Times New Roman" w:eastAsia="Times New Roman" w:hAnsi="Times New Roman" w:cs="Times New Roman"/>
                <w:sz w:val="24"/>
                <w:szCs w:val="24"/>
              </w:rPr>
            </w:pPr>
            <w:r w:rsidRPr="00011C11">
              <w:rPr>
                <w:rFonts w:ascii="Times New Roman" w:eastAsia="Times New Roman" w:hAnsi="Times New Roman" w:cs="Times New Roman"/>
                <w:color w:val="000000"/>
                <w:sz w:val="24"/>
                <w:szCs w:val="24"/>
              </w:rPr>
              <w:t>Показники критеріїв</w:t>
            </w:r>
          </w:p>
        </w:tc>
        <w:tc>
          <w:tcPr>
            <w:tcW w:w="1278" w:type="dxa"/>
            <w:shd w:val="clear" w:color="auto" w:fill="auto"/>
          </w:tcPr>
          <w:p w:rsidR="004218A0" w:rsidRPr="00011C11" w:rsidRDefault="0089596A">
            <w:pPr>
              <w:jc w:val="center"/>
              <w:rPr>
                <w:rFonts w:ascii="Times New Roman" w:eastAsia="Times New Roman" w:hAnsi="Times New Roman" w:cs="Times New Roman"/>
                <w:sz w:val="24"/>
                <w:szCs w:val="24"/>
              </w:rPr>
            </w:pPr>
            <w:r w:rsidRPr="00011C11">
              <w:rPr>
                <w:rFonts w:ascii="Times New Roman" w:eastAsia="Times New Roman" w:hAnsi="Times New Roman" w:cs="Times New Roman"/>
                <w:color w:val="000000"/>
                <w:sz w:val="24"/>
                <w:szCs w:val="24"/>
              </w:rPr>
              <w:t>Кількість балів</w:t>
            </w:r>
            <w:r w:rsidR="00F73F47">
              <w:rPr>
                <w:rFonts w:ascii="Times New Roman" w:eastAsia="Times New Roman" w:hAnsi="Times New Roman" w:cs="Times New Roman"/>
                <w:color w:val="000000"/>
                <w:sz w:val="24"/>
                <w:szCs w:val="24"/>
              </w:rPr>
              <w:t>*</w:t>
            </w:r>
          </w:p>
        </w:tc>
      </w:tr>
      <w:tr w:rsidR="0089596A" w:rsidRPr="00011C11" w:rsidTr="00011C11">
        <w:tc>
          <w:tcPr>
            <w:tcW w:w="3539" w:type="dxa"/>
            <w:vMerge w:val="restart"/>
            <w:shd w:val="clear" w:color="auto" w:fill="auto"/>
          </w:tcPr>
          <w:p w:rsidR="0089596A" w:rsidRPr="00011C11" w:rsidRDefault="0089596A" w:rsidP="00456FBE">
            <w:pPr>
              <w:jc w:val="both"/>
              <w:rPr>
                <w:rFonts w:ascii="Times New Roman" w:eastAsia="Times New Roman" w:hAnsi="Times New Roman" w:cs="Times New Roman"/>
                <w:sz w:val="24"/>
                <w:szCs w:val="24"/>
              </w:rPr>
            </w:pPr>
            <w:r w:rsidRPr="00011C11">
              <w:rPr>
                <w:rFonts w:ascii="Times New Roman" w:eastAsia="Times New Roman" w:hAnsi="Times New Roman" w:cs="Times New Roman"/>
                <w:sz w:val="24"/>
                <w:szCs w:val="24"/>
              </w:rPr>
              <w:t xml:space="preserve">1. </w:t>
            </w:r>
            <w:r w:rsidR="00456FBE" w:rsidRPr="00011C11">
              <w:rPr>
                <w:rFonts w:ascii="Times New Roman" w:eastAsia="Times New Roman" w:hAnsi="Times New Roman" w:cs="Times New Roman"/>
                <w:sz w:val="24"/>
                <w:szCs w:val="24"/>
              </w:rPr>
              <w:t>Вид</w:t>
            </w:r>
            <w:r w:rsidR="008E6AD7" w:rsidRPr="00011C11">
              <w:rPr>
                <w:rFonts w:ascii="Times New Roman" w:eastAsia="Times New Roman" w:hAnsi="Times New Roman" w:cs="Times New Roman"/>
                <w:sz w:val="24"/>
                <w:szCs w:val="24"/>
              </w:rPr>
              <w:t xml:space="preserve"> об’єкта обліку</w:t>
            </w:r>
            <w:r w:rsidRPr="00011C11">
              <w:rPr>
                <w:rFonts w:ascii="Times New Roman" w:eastAsia="Times New Roman" w:hAnsi="Times New Roman" w:cs="Times New Roman"/>
                <w:sz w:val="24"/>
                <w:szCs w:val="24"/>
              </w:rPr>
              <w:t xml:space="preserve">, </w:t>
            </w:r>
            <w:r w:rsidR="008E6AD7" w:rsidRPr="00011C11">
              <w:rPr>
                <w:rFonts w:ascii="Times New Roman" w:eastAsia="Times New Roman" w:hAnsi="Times New Roman" w:cs="Times New Roman"/>
                <w:sz w:val="24"/>
                <w:szCs w:val="24"/>
              </w:rPr>
              <w:t xml:space="preserve">який використовує суб’єкт господарювання </w:t>
            </w:r>
          </w:p>
        </w:tc>
        <w:tc>
          <w:tcPr>
            <w:tcW w:w="4536" w:type="dxa"/>
            <w:shd w:val="clear" w:color="auto" w:fill="auto"/>
          </w:tcPr>
          <w:p w:rsidR="0089596A" w:rsidRPr="00011C11" w:rsidRDefault="0089596A" w:rsidP="008E6AD7">
            <w:pPr>
              <w:rPr>
                <w:rFonts w:ascii="Times New Roman" w:eastAsia="Times New Roman" w:hAnsi="Times New Roman" w:cs="Times New Roman"/>
                <w:color w:val="274E13"/>
                <w:sz w:val="24"/>
                <w:szCs w:val="24"/>
              </w:rPr>
            </w:pPr>
            <w:r w:rsidRPr="00011C11">
              <w:rPr>
                <w:rFonts w:ascii="Times New Roman" w:eastAsia="Times New Roman" w:hAnsi="Times New Roman" w:cs="Times New Roman"/>
                <w:sz w:val="24"/>
                <w:szCs w:val="24"/>
              </w:rPr>
              <w:t xml:space="preserve">1.1. </w:t>
            </w:r>
            <w:r w:rsidR="008E6AD7" w:rsidRPr="00011C11">
              <w:rPr>
                <w:rFonts w:ascii="Times New Roman" w:eastAsia="Times New Roman" w:hAnsi="Times New Roman" w:cs="Times New Roman"/>
                <w:sz w:val="24"/>
                <w:szCs w:val="24"/>
              </w:rPr>
              <w:t>Газосховище</w:t>
            </w:r>
            <w:r w:rsidRPr="00011C11">
              <w:rPr>
                <w:rFonts w:ascii="Times New Roman" w:eastAsia="Times New Roman" w:hAnsi="Times New Roman" w:cs="Times New Roman"/>
                <w:sz w:val="24"/>
                <w:szCs w:val="24"/>
              </w:rPr>
              <w:t xml:space="preserve"> </w:t>
            </w:r>
          </w:p>
        </w:tc>
        <w:tc>
          <w:tcPr>
            <w:tcW w:w="1278" w:type="dxa"/>
            <w:shd w:val="clear" w:color="auto" w:fill="auto"/>
          </w:tcPr>
          <w:p w:rsidR="0089596A" w:rsidRPr="00011C11" w:rsidRDefault="008E6AD7">
            <w:pPr>
              <w:jc w:val="center"/>
              <w:rPr>
                <w:rFonts w:ascii="Times New Roman" w:eastAsia="Times New Roman" w:hAnsi="Times New Roman" w:cs="Times New Roman"/>
                <w:sz w:val="24"/>
                <w:szCs w:val="24"/>
              </w:rPr>
            </w:pPr>
            <w:r w:rsidRPr="00011C11">
              <w:rPr>
                <w:rFonts w:ascii="Times New Roman" w:eastAsia="Times New Roman" w:hAnsi="Times New Roman" w:cs="Times New Roman"/>
                <w:sz w:val="24"/>
                <w:szCs w:val="24"/>
              </w:rPr>
              <w:t>10</w:t>
            </w:r>
          </w:p>
        </w:tc>
      </w:tr>
      <w:tr w:rsidR="0089596A" w:rsidRPr="00011C11" w:rsidTr="00011C11">
        <w:tc>
          <w:tcPr>
            <w:tcW w:w="3539" w:type="dxa"/>
            <w:vMerge/>
            <w:shd w:val="clear" w:color="auto" w:fill="auto"/>
          </w:tcPr>
          <w:p w:rsidR="0089596A" w:rsidRPr="00011C11" w:rsidRDefault="0089596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shd w:val="clear" w:color="auto" w:fill="auto"/>
          </w:tcPr>
          <w:p w:rsidR="0089596A" w:rsidRPr="00011C11" w:rsidRDefault="0089596A" w:rsidP="008E6AD7">
            <w:pPr>
              <w:rPr>
                <w:rFonts w:ascii="Times New Roman" w:eastAsia="Times New Roman" w:hAnsi="Times New Roman" w:cs="Times New Roman"/>
                <w:color w:val="274E13"/>
                <w:sz w:val="24"/>
                <w:szCs w:val="24"/>
              </w:rPr>
            </w:pPr>
            <w:r w:rsidRPr="00011C11">
              <w:rPr>
                <w:rFonts w:ascii="Times New Roman" w:eastAsia="Times New Roman" w:hAnsi="Times New Roman" w:cs="Times New Roman"/>
                <w:sz w:val="24"/>
                <w:szCs w:val="24"/>
              </w:rPr>
              <w:t xml:space="preserve">1.2. </w:t>
            </w:r>
            <w:r w:rsidR="008E6AD7" w:rsidRPr="00011C11">
              <w:rPr>
                <w:rFonts w:ascii="Times New Roman" w:eastAsia="Times New Roman" w:hAnsi="Times New Roman" w:cs="Times New Roman"/>
                <w:sz w:val="24"/>
                <w:szCs w:val="24"/>
              </w:rPr>
              <w:t>Поле закритої шахти</w:t>
            </w:r>
          </w:p>
        </w:tc>
        <w:tc>
          <w:tcPr>
            <w:tcW w:w="1278" w:type="dxa"/>
            <w:shd w:val="clear" w:color="auto" w:fill="auto"/>
          </w:tcPr>
          <w:p w:rsidR="0089596A" w:rsidRPr="00011C11" w:rsidRDefault="008E6AD7">
            <w:pPr>
              <w:jc w:val="center"/>
              <w:rPr>
                <w:rFonts w:ascii="Times New Roman" w:eastAsia="Times New Roman" w:hAnsi="Times New Roman" w:cs="Times New Roman"/>
                <w:sz w:val="24"/>
                <w:szCs w:val="24"/>
              </w:rPr>
            </w:pPr>
            <w:r w:rsidRPr="00011C11">
              <w:rPr>
                <w:rFonts w:ascii="Times New Roman" w:eastAsia="Times New Roman" w:hAnsi="Times New Roman" w:cs="Times New Roman"/>
                <w:sz w:val="24"/>
                <w:szCs w:val="24"/>
              </w:rPr>
              <w:t>7</w:t>
            </w:r>
          </w:p>
        </w:tc>
      </w:tr>
      <w:tr w:rsidR="0089596A" w:rsidRPr="00011C11" w:rsidTr="00011C11">
        <w:tc>
          <w:tcPr>
            <w:tcW w:w="3539" w:type="dxa"/>
            <w:vMerge/>
            <w:shd w:val="clear" w:color="auto" w:fill="auto"/>
          </w:tcPr>
          <w:p w:rsidR="0089596A" w:rsidRPr="00011C11" w:rsidRDefault="0089596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shd w:val="clear" w:color="auto" w:fill="auto"/>
          </w:tcPr>
          <w:p w:rsidR="0089596A" w:rsidRPr="00011C11" w:rsidRDefault="0089596A" w:rsidP="008E6AD7">
            <w:pPr>
              <w:rPr>
                <w:rFonts w:ascii="Times New Roman" w:eastAsia="Times New Roman" w:hAnsi="Times New Roman" w:cs="Times New Roman"/>
                <w:sz w:val="24"/>
                <w:szCs w:val="24"/>
              </w:rPr>
            </w:pPr>
            <w:r w:rsidRPr="00011C11">
              <w:rPr>
                <w:rFonts w:ascii="Times New Roman" w:eastAsia="Times New Roman" w:hAnsi="Times New Roman" w:cs="Times New Roman"/>
                <w:sz w:val="24"/>
                <w:szCs w:val="24"/>
              </w:rPr>
              <w:t xml:space="preserve">1.3. </w:t>
            </w:r>
            <w:r w:rsidR="008E6AD7" w:rsidRPr="00011C11">
              <w:rPr>
                <w:rFonts w:ascii="Times New Roman" w:eastAsia="Times New Roman" w:hAnsi="Times New Roman" w:cs="Times New Roman"/>
                <w:sz w:val="24"/>
                <w:szCs w:val="24"/>
              </w:rPr>
              <w:t>Інші</w:t>
            </w:r>
          </w:p>
        </w:tc>
        <w:tc>
          <w:tcPr>
            <w:tcW w:w="1278" w:type="dxa"/>
            <w:shd w:val="clear" w:color="auto" w:fill="auto"/>
          </w:tcPr>
          <w:p w:rsidR="0089596A" w:rsidRPr="00011C11" w:rsidRDefault="0089596A">
            <w:pPr>
              <w:jc w:val="center"/>
              <w:rPr>
                <w:rFonts w:ascii="Times New Roman" w:eastAsia="Times New Roman" w:hAnsi="Times New Roman" w:cs="Times New Roman"/>
                <w:sz w:val="24"/>
                <w:szCs w:val="24"/>
              </w:rPr>
            </w:pPr>
            <w:r w:rsidRPr="00011C11">
              <w:rPr>
                <w:rFonts w:ascii="Times New Roman" w:eastAsia="Times New Roman" w:hAnsi="Times New Roman" w:cs="Times New Roman"/>
                <w:sz w:val="24"/>
                <w:szCs w:val="24"/>
              </w:rPr>
              <w:t>0</w:t>
            </w:r>
          </w:p>
        </w:tc>
      </w:tr>
      <w:tr w:rsidR="0058393F" w:rsidRPr="00011C11" w:rsidTr="0058393F">
        <w:trPr>
          <w:trHeight w:val="413"/>
        </w:trPr>
        <w:tc>
          <w:tcPr>
            <w:tcW w:w="3539" w:type="dxa"/>
            <w:vMerge w:val="restart"/>
            <w:shd w:val="clear" w:color="auto" w:fill="auto"/>
          </w:tcPr>
          <w:p w:rsidR="0058393F" w:rsidRPr="00011C11" w:rsidRDefault="0058393F" w:rsidP="0058393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color w:val="000000"/>
                <w:sz w:val="24"/>
                <w:szCs w:val="24"/>
              </w:rPr>
              <w:t xml:space="preserve">Місцезнаходження об’єкта надрокористування (родовища, ділянки надр) у межах басейну річки Рось </w:t>
            </w:r>
          </w:p>
        </w:tc>
        <w:tc>
          <w:tcPr>
            <w:tcW w:w="4536" w:type="dxa"/>
            <w:shd w:val="clear" w:color="auto" w:fill="auto"/>
          </w:tcPr>
          <w:p w:rsidR="0058393F" w:rsidRPr="00011C11" w:rsidRDefault="0058393F" w:rsidP="001C394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2.1. Так</w:t>
            </w:r>
          </w:p>
        </w:tc>
        <w:tc>
          <w:tcPr>
            <w:tcW w:w="1278" w:type="dxa"/>
            <w:shd w:val="clear" w:color="auto" w:fill="auto"/>
          </w:tcPr>
          <w:p w:rsidR="0058393F" w:rsidRPr="00011C11" w:rsidRDefault="0058393F" w:rsidP="001C39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8393F" w:rsidRPr="00011C11" w:rsidTr="00011C11">
        <w:trPr>
          <w:trHeight w:val="412"/>
        </w:trPr>
        <w:tc>
          <w:tcPr>
            <w:tcW w:w="3539" w:type="dxa"/>
            <w:vMerge/>
            <w:shd w:val="clear" w:color="auto" w:fill="auto"/>
          </w:tcPr>
          <w:p w:rsidR="0058393F" w:rsidRDefault="0058393F" w:rsidP="0058393F">
            <w:pPr>
              <w:jc w:val="both"/>
              <w:rPr>
                <w:rFonts w:ascii="Times New Roman" w:eastAsia="Times New Roman" w:hAnsi="Times New Roman" w:cs="Times New Roman"/>
                <w:sz w:val="24"/>
                <w:szCs w:val="24"/>
              </w:rPr>
            </w:pPr>
          </w:p>
        </w:tc>
        <w:tc>
          <w:tcPr>
            <w:tcW w:w="4536" w:type="dxa"/>
            <w:shd w:val="clear" w:color="auto" w:fill="auto"/>
          </w:tcPr>
          <w:p w:rsidR="0058393F" w:rsidRDefault="0058393F" w:rsidP="001C394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2.2. Ні</w:t>
            </w:r>
          </w:p>
        </w:tc>
        <w:tc>
          <w:tcPr>
            <w:tcW w:w="1278" w:type="dxa"/>
            <w:shd w:val="clear" w:color="auto" w:fill="auto"/>
          </w:tcPr>
          <w:p w:rsidR="0058393F" w:rsidRPr="00011C11" w:rsidRDefault="0058393F" w:rsidP="001C39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1C394F" w:rsidRPr="00011C11" w:rsidTr="00011C11">
        <w:tc>
          <w:tcPr>
            <w:tcW w:w="3539" w:type="dxa"/>
            <w:vMerge w:val="restart"/>
            <w:shd w:val="clear" w:color="auto" w:fill="auto"/>
          </w:tcPr>
          <w:p w:rsidR="001C394F" w:rsidRPr="00011C11" w:rsidRDefault="0058393F" w:rsidP="001C39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1C394F" w:rsidRPr="00011C11">
              <w:rPr>
                <w:rFonts w:ascii="Times New Roman" w:eastAsia="Times New Roman" w:hAnsi="Times New Roman" w:cs="Times New Roman"/>
                <w:sz w:val="24"/>
                <w:szCs w:val="24"/>
              </w:rPr>
              <w:t>. Наявність порушень вимог законодавства у сфері геологічного вивчення та раціонального використання надр, виявлених під час останньої планової перевірки</w:t>
            </w:r>
          </w:p>
          <w:p w:rsidR="001C394F" w:rsidRPr="00011C11" w:rsidRDefault="001C394F" w:rsidP="001C394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shd w:val="clear" w:color="auto" w:fill="auto"/>
          </w:tcPr>
          <w:p w:rsidR="001C394F" w:rsidRPr="00011C11" w:rsidRDefault="0058393F" w:rsidP="001C394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color w:val="000000"/>
                <w:sz w:val="21"/>
                <w:szCs w:val="21"/>
              </w:rPr>
            </w:pPr>
            <w:r>
              <w:rPr>
                <w:rFonts w:ascii="Times New Roman" w:eastAsia="Times New Roman" w:hAnsi="Times New Roman" w:cs="Times New Roman"/>
                <w:sz w:val="24"/>
                <w:szCs w:val="24"/>
              </w:rPr>
              <w:t>3</w:t>
            </w:r>
            <w:r w:rsidR="001C394F" w:rsidRPr="00011C11">
              <w:rPr>
                <w:rFonts w:ascii="Times New Roman" w:eastAsia="Times New Roman" w:hAnsi="Times New Roman" w:cs="Times New Roman"/>
                <w:sz w:val="24"/>
                <w:szCs w:val="24"/>
              </w:rPr>
              <w:t>.1. Не допущення посадових осіб Державної служби геології та надр України до проведення заходу державного нагляду (контролю) за умови дотримання ними порядку здійснення державного нагляду (контролю), передбаченого Законом України «Про основні засади державного нагляду (контролю) у сфері господарської діяльності»</w:t>
            </w:r>
          </w:p>
        </w:tc>
        <w:tc>
          <w:tcPr>
            <w:tcW w:w="1278" w:type="dxa"/>
            <w:shd w:val="clear" w:color="auto" w:fill="auto"/>
          </w:tcPr>
          <w:p w:rsidR="001C394F" w:rsidRPr="00011C11" w:rsidRDefault="001C394F" w:rsidP="001C394F">
            <w:pPr>
              <w:jc w:val="center"/>
              <w:rPr>
                <w:rFonts w:ascii="Times New Roman" w:eastAsia="Times New Roman" w:hAnsi="Times New Roman" w:cs="Times New Roman"/>
                <w:sz w:val="24"/>
                <w:szCs w:val="24"/>
              </w:rPr>
            </w:pPr>
            <w:r w:rsidRPr="00011C11">
              <w:rPr>
                <w:rFonts w:ascii="Times New Roman" w:eastAsia="Times New Roman" w:hAnsi="Times New Roman" w:cs="Times New Roman"/>
                <w:sz w:val="24"/>
                <w:szCs w:val="24"/>
              </w:rPr>
              <w:t>25</w:t>
            </w:r>
          </w:p>
        </w:tc>
      </w:tr>
      <w:tr w:rsidR="001C394F" w:rsidRPr="00011C11" w:rsidTr="00011C11">
        <w:tc>
          <w:tcPr>
            <w:tcW w:w="3539" w:type="dxa"/>
            <w:vMerge/>
            <w:shd w:val="clear" w:color="auto" w:fill="auto"/>
          </w:tcPr>
          <w:p w:rsidR="001C394F" w:rsidRPr="00011C11" w:rsidRDefault="001C394F" w:rsidP="001C394F">
            <w:pPr>
              <w:jc w:val="both"/>
              <w:rPr>
                <w:rFonts w:ascii="Times New Roman" w:eastAsia="Times New Roman" w:hAnsi="Times New Roman" w:cs="Times New Roman"/>
                <w:sz w:val="24"/>
                <w:szCs w:val="24"/>
              </w:rPr>
            </w:pPr>
          </w:p>
        </w:tc>
        <w:tc>
          <w:tcPr>
            <w:tcW w:w="4536" w:type="dxa"/>
            <w:shd w:val="clear" w:color="auto" w:fill="auto"/>
          </w:tcPr>
          <w:p w:rsidR="001C394F" w:rsidRPr="00011C11" w:rsidRDefault="0058393F" w:rsidP="001C394F">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1C394F" w:rsidRPr="00011C11">
              <w:rPr>
                <w:rFonts w:ascii="Times New Roman" w:eastAsia="Times New Roman" w:hAnsi="Times New Roman" w:cs="Times New Roman"/>
                <w:sz w:val="24"/>
                <w:szCs w:val="24"/>
              </w:rPr>
              <w:t>.2. Порушення особливих умов спеціального дозволу на користування надрами</w:t>
            </w:r>
          </w:p>
        </w:tc>
        <w:tc>
          <w:tcPr>
            <w:tcW w:w="1278" w:type="dxa"/>
            <w:shd w:val="clear" w:color="auto" w:fill="auto"/>
          </w:tcPr>
          <w:p w:rsidR="001C394F" w:rsidRPr="00011C11" w:rsidRDefault="001C394F" w:rsidP="001C394F">
            <w:pPr>
              <w:jc w:val="center"/>
              <w:rPr>
                <w:rFonts w:ascii="Times New Roman" w:eastAsia="Times New Roman" w:hAnsi="Times New Roman" w:cs="Times New Roman"/>
                <w:sz w:val="24"/>
                <w:szCs w:val="24"/>
              </w:rPr>
            </w:pPr>
            <w:r w:rsidRPr="00011C11">
              <w:rPr>
                <w:rFonts w:ascii="Times New Roman" w:eastAsia="Times New Roman" w:hAnsi="Times New Roman" w:cs="Times New Roman"/>
                <w:sz w:val="24"/>
                <w:szCs w:val="24"/>
              </w:rPr>
              <w:t>20</w:t>
            </w:r>
          </w:p>
        </w:tc>
      </w:tr>
      <w:tr w:rsidR="001C394F" w:rsidRPr="00011C11" w:rsidTr="00011C11">
        <w:tc>
          <w:tcPr>
            <w:tcW w:w="3539" w:type="dxa"/>
            <w:vMerge/>
            <w:shd w:val="clear" w:color="auto" w:fill="auto"/>
          </w:tcPr>
          <w:p w:rsidR="001C394F" w:rsidRPr="00011C11" w:rsidRDefault="001C394F" w:rsidP="001C394F">
            <w:pPr>
              <w:jc w:val="both"/>
              <w:rPr>
                <w:rFonts w:ascii="Times New Roman" w:eastAsia="Times New Roman" w:hAnsi="Times New Roman" w:cs="Times New Roman"/>
                <w:sz w:val="24"/>
                <w:szCs w:val="24"/>
              </w:rPr>
            </w:pPr>
          </w:p>
        </w:tc>
        <w:tc>
          <w:tcPr>
            <w:tcW w:w="4536" w:type="dxa"/>
            <w:shd w:val="clear" w:color="auto" w:fill="auto"/>
          </w:tcPr>
          <w:p w:rsidR="001C394F" w:rsidRPr="00011C11" w:rsidRDefault="00C765C6" w:rsidP="001C394F">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1C394F" w:rsidRPr="00011C11">
              <w:rPr>
                <w:rFonts w:ascii="Times New Roman" w:eastAsia="Times New Roman" w:hAnsi="Times New Roman" w:cs="Times New Roman"/>
                <w:sz w:val="24"/>
                <w:szCs w:val="24"/>
              </w:rPr>
              <w:t>.3. Невиконання програми робіт, виконання якої передбачено угодою про умови користування надрами</w:t>
            </w:r>
          </w:p>
        </w:tc>
        <w:tc>
          <w:tcPr>
            <w:tcW w:w="1278" w:type="dxa"/>
            <w:shd w:val="clear" w:color="auto" w:fill="auto"/>
          </w:tcPr>
          <w:p w:rsidR="001C394F" w:rsidRPr="00011C11" w:rsidRDefault="001C394F" w:rsidP="001C394F">
            <w:pPr>
              <w:jc w:val="center"/>
              <w:rPr>
                <w:rFonts w:ascii="Times New Roman" w:eastAsia="Times New Roman" w:hAnsi="Times New Roman" w:cs="Times New Roman"/>
                <w:sz w:val="24"/>
                <w:szCs w:val="24"/>
              </w:rPr>
            </w:pPr>
            <w:r w:rsidRPr="00011C11">
              <w:rPr>
                <w:rFonts w:ascii="Times New Roman" w:eastAsia="Times New Roman" w:hAnsi="Times New Roman" w:cs="Times New Roman"/>
                <w:sz w:val="24"/>
                <w:szCs w:val="24"/>
              </w:rPr>
              <w:t>15</w:t>
            </w:r>
          </w:p>
        </w:tc>
      </w:tr>
      <w:tr w:rsidR="001C394F" w:rsidRPr="00011C11" w:rsidTr="00011C11">
        <w:tc>
          <w:tcPr>
            <w:tcW w:w="3539" w:type="dxa"/>
            <w:vMerge/>
            <w:shd w:val="clear" w:color="auto" w:fill="auto"/>
          </w:tcPr>
          <w:p w:rsidR="001C394F" w:rsidRPr="00011C11" w:rsidRDefault="001C394F" w:rsidP="001C394F">
            <w:pPr>
              <w:jc w:val="both"/>
              <w:rPr>
                <w:rFonts w:ascii="Times New Roman" w:eastAsia="Times New Roman" w:hAnsi="Times New Roman" w:cs="Times New Roman"/>
                <w:sz w:val="24"/>
                <w:szCs w:val="24"/>
              </w:rPr>
            </w:pPr>
          </w:p>
        </w:tc>
        <w:tc>
          <w:tcPr>
            <w:tcW w:w="4536" w:type="dxa"/>
            <w:shd w:val="clear" w:color="auto" w:fill="auto"/>
          </w:tcPr>
          <w:p w:rsidR="001C394F" w:rsidRPr="00011C11" w:rsidRDefault="00C765C6" w:rsidP="001C394F">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1C394F" w:rsidRPr="00011C11">
              <w:rPr>
                <w:rFonts w:ascii="Times New Roman" w:eastAsia="Times New Roman" w:hAnsi="Times New Roman" w:cs="Times New Roman"/>
                <w:sz w:val="24"/>
                <w:szCs w:val="24"/>
              </w:rPr>
              <w:t>.4. Інші порушення</w:t>
            </w:r>
          </w:p>
        </w:tc>
        <w:tc>
          <w:tcPr>
            <w:tcW w:w="1278" w:type="dxa"/>
            <w:shd w:val="clear" w:color="auto" w:fill="auto"/>
          </w:tcPr>
          <w:p w:rsidR="001C394F" w:rsidRPr="00011C11" w:rsidRDefault="001C394F" w:rsidP="001C394F">
            <w:pPr>
              <w:jc w:val="center"/>
              <w:rPr>
                <w:rFonts w:ascii="Times New Roman" w:eastAsia="Times New Roman" w:hAnsi="Times New Roman" w:cs="Times New Roman"/>
                <w:sz w:val="24"/>
                <w:szCs w:val="24"/>
              </w:rPr>
            </w:pPr>
            <w:r w:rsidRPr="00011C11">
              <w:rPr>
                <w:rFonts w:ascii="Times New Roman" w:eastAsia="Times New Roman" w:hAnsi="Times New Roman" w:cs="Times New Roman"/>
                <w:sz w:val="24"/>
                <w:szCs w:val="24"/>
              </w:rPr>
              <w:t>5</w:t>
            </w:r>
          </w:p>
        </w:tc>
      </w:tr>
      <w:tr w:rsidR="001C394F" w:rsidTr="00011C11">
        <w:tc>
          <w:tcPr>
            <w:tcW w:w="3539" w:type="dxa"/>
            <w:vMerge/>
            <w:shd w:val="clear" w:color="auto" w:fill="auto"/>
          </w:tcPr>
          <w:p w:rsidR="001C394F" w:rsidRPr="00011C11" w:rsidRDefault="001C394F" w:rsidP="001C394F">
            <w:pPr>
              <w:jc w:val="both"/>
              <w:rPr>
                <w:rFonts w:ascii="Times New Roman" w:eastAsia="Times New Roman" w:hAnsi="Times New Roman" w:cs="Times New Roman"/>
                <w:sz w:val="24"/>
                <w:szCs w:val="24"/>
              </w:rPr>
            </w:pPr>
          </w:p>
        </w:tc>
        <w:tc>
          <w:tcPr>
            <w:tcW w:w="4536" w:type="dxa"/>
            <w:shd w:val="clear" w:color="auto" w:fill="auto"/>
          </w:tcPr>
          <w:p w:rsidR="001C394F" w:rsidRPr="00011C11" w:rsidRDefault="00C765C6" w:rsidP="001C394F">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bookmarkStart w:id="0" w:name="_GoBack"/>
            <w:bookmarkEnd w:id="0"/>
            <w:r w:rsidR="001C394F" w:rsidRPr="00011C11">
              <w:rPr>
                <w:rFonts w:ascii="Times New Roman" w:eastAsia="Times New Roman" w:hAnsi="Times New Roman" w:cs="Times New Roman"/>
                <w:sz w:val="24"/>
                <w:szCs w:val="24"/>
              </w:rPr>
              <w:t>.5. Порушення відсутні</w:t>
            </w:r>
          </w:p>
        </w:tc>
        <w:tc>
          <w:tcPr>
            <w:tcW w:w="1278" w:type="dxa"/>
            <w:shd w:val="clear" w:color="auto" w:fill="auto"/>
          </w:tcPr>
          <w:p w:rsidR="001C394F" w:rsidRDefault="001C394F" w:rsidP="001C394F">
            <w:pPr>
              <w:jc w:val="center"/>
              <w:rPr>
                <w:rFonts w:ascii="Times New Roman" w:eastAsia="Times New Roman" w:hAnsi="Times New Roman" w:cs="Times New Roman"/>
                <w:sz w:val="24"/>
                <w:szCs w:val="24"/>
              </w:rPr>
            </w:pPr>
            <w:r w:rsidRPr="00011C11">
              <w:rPr>
                <w:rFonts w:ascii="Times New Roman" w:eastAsia="Times New Roman" w:hAnsi="Times New Roman" w:cs="Times New Roman"/>
                <w:sz w:val="24"/>
                <w:szCs w:val="24"/>
              </w:rPr>
              <w:t>0</w:t>
            </w:r>
          </w:p>
        </w:tc>
      </w:tr>
    </w:tbl>
    <w:p w:rsidR="00DB0031" w:rsidRDefault="00EA6A89" w:rsidP="00EA6A89">
      <w:pPr>
        <w:spacing w:after="0"/>
        <w:ind w:firstLine="709"/>
        <w:jc w:val="both"/>
        <w:rPr>
          <w:rFonts w:ascii="Times New Roman" w:eastAsia="Times New Roman" w:hAnsi="Times New Roman" w:cs="Times New Roman"/>
          <w:color w:val="000000"/>
          <w:sz w:val="24"/>
          <w:szCs w:val="24"/>
        </w:rPr>
      </w:pPr>
      <w:bookmarkStart w:id="1" w:name="30j0zll" w:colFirst="0" w:colLast="0"/>
      <w:bookmarkEnd w:id="1"/>
      <w:r>
        <w:rPr>
          <w:rFonts w:ascii="Times New Roman" w:eastAsia="Times New Roman" w:hAnsi="Times New Roman" w:cs="Times New Roman"/>
          <w:color w:val="000000"/>
          <w:sz w:val="24"/>
          <w:szCs w:val="24"/>
        </w:rPr>
        <w:t>Примітка: 1.</w:t>
      </w:r>
      <w:r w:rsidR="00DB0031">
        <w:rPr>
          <w:rFonts w:ascii="Times New Roman" w:eastAsia="Times New Roman" w:hAnsi="Times New Roman" w:cs="Times New Roman"/>
          <w:color w:val="000000"/>
          <w:sz w:val="24"/>
          <w:szCs w:val="24"/>
        </w:rPr>
        <w:t xml:space="preserve"> Якщо до діяльності суб’єкта господарювання може бути застосовано одночасно більше ніж один показник критерію, застосовується показник з найбільшою кількістю балів.</w:t>
      </w:r>
    </w:p>
    <w:p w:rsidR="00DB0031" w:rsidRDefault="00DB0031" w:rsidP="00DB0031">
      <w:pPr>
        <w:ind w:firstLine="70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w:t>
      </w:r>
    </w:p>
    <w:p w:rsidR="00DB0031" w:rsidRDefault="00DB0031" w:rsidP="00A64ABA">
      <w:pPr>
        <w:spacing w:after="0" w:line="360" w:lineRule="auto"/>
        <w:ind w:firstLine="709"/>
        <w:jc w:val="center"/>
        <w:rPr>
          <w:rFonts w:ascii="Times New Roman" w:eastAsia="Times New Roman" w:hAnsi="Times New Roman" w:cs="Times New Roman"/>
          <w:sz w:val="28"/>
          <w:szCs w:val="28"/>
        </w:rPr>
      </w:pPr>
    </w:p>
    <w:p w:rsidR="00DB0031" w:rsidRDefault="00DB0031" w:rsidP="00A64ABA">
      <w:pPr>
        <w:spacing w:after="0" w:line="360" w:lineRule="auto"/>
        <w:ind w:firstLine="709"/>
        <w:jc w:val="center"/>
      </w:pPr>
    </w:p>
    <w:sectPr w:rsidR="00DB0031" w:rsidSect="006153DF">
      <w:headerReference w:type="default" r:id="rId7"/>
      <w:pgSz w:w="11906" w:h="16838"/>
      <w:pgMar w:top="1134" w:right="850" w:bottom="1134" w:left="1701"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3DF" w:rsidRDefault="006153DF" w:rsidP="006153DF">
      <w:pPr>
        <w:spacing w:after="0" w:line="240" w:lineRule="auto"/>
      </w:pPr>
      <w:r>
        <w:separator/>
      </w:r>
    </w:p>
  </w:endnote>
  <w:endnote w:type="continuationSeparator" w:id="0">
    <w:p w:rsidR="006153DF" w:rsidRDefault="006153DF" w:rsidP="00615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3DF" w:rsidRDefault="006153DF" w:rsidP="006153DF">
      <w:pPr>
        <w:spacing w:after="0" w:line="240" w:lineRule="auto"/>
      </w:pPr>
      <w:r>
        <w:separator/>
      </w:r>
    </w:p>
  </w:footnote>
  <w:footnote w:type="continuationSeparator" w:id="0">
    <w:p w:rsidR="006153DF" w:rsidRDefault="006153DF" w:rsidP="00615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3DF" w:rsidRPr="006153DF" w:rsidRDefault="006153DF" w:rsidP="006153DF">
    <w:pPr>
      <w:pStyle w:val="a7"/>
      <w:jc w:val="right"/>
      <w:rPr>
        <w:rFonts w:ascii="Times New Roman" w:hAnsi="Times New Roman" w:cs="Times New Roman"/>
        <w:sz w:val="20"/>
        <w:szCs w:val="20"/>
      </w:rPr>
    </w:pPr>
    <w:r w:rsidRPr="006153DF">
      <w:rPr>
        <w:rFonts w:ascii="Times New Roman" w:hAnsi="Times New Roman" w:cs="Times New Roman"/>
        <w:sz w:val="20"/>
        <w:szCs w:val="20"/>
      </w:rPr>
      <w:t>Продовження додатку 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8A0"/>
    <w:rsid w:val="00011C11"/>
    <w:rsid w:val="0006638D"/>
    <w:rsid w:val="000C1429"/>
    <w:rsid w:val="00162645"/>
    <w:rsid w:val="001C394F"/>
    <w:rsid w:val="00281142"/>
    <w:rsid w:val="004218A0"/>
    <w:rsid w:val="00430F88"/>
    <w:rsid w:val="00456FBE"/>
    <w:rsid w:val="00480CEE"/>
    <w:rsid w:val="00486B84"/>
    <w:rsid w:val="004D1E1C"/>
    <w:rsid w:val="00547E91"/>
    <w:rsid w:val="00574B3B"/>
    <w:rsid w:val="0058393F"/>
    <w:rsid w:val="005B7AB2"/>
    <w:rsid w:val="005F14D3"/>
    <w:rsid w:val="006153DF"/>
    <w:rsid w:val="006336C1"/>
    <w:rsid w:val="0089596A"/>
    <w:rsid w:val="008E6AD7"/>
    <w:rsid w:val="009A325B"/>
    <w:rsid w:val="009B255A"/>
    <w:rsid w:val="009E4417"/>
    <w:rsid w:val="00A1468D"/>
    <w:rsid w:val="00A24844"/>
    <w:rsid w:val="00A64ABA"/>
    <w:rsid w:val="00AD6976"/>
    <w:rsid w:val="00B366D2"/>
    <w:rsid w:val="00B93DA9"/>
    <w:rsid w:val="00C765C6"/>
    <w:rsid w:val="00CA5DCA"/>
    <w:rsid w:val="00CE69A5"/>
    <w:rsid w:val="00D55C82"/>
    <w:rsid w:val="00DB0031"/>
    <w:rsid w:val="00E00921"/>
    <w:rsid w:val="00E84907"/>
    <w:rsid w:val="00EA6A89"/>
    <w:rsid w:val="00F47C48"/>
    <w:rsid w:val="00F73F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A1F84"/>
  <w15:docId w15:val="{F536C729-7AF9-40CC-A4DE-F56952AD2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tblPr>
      <w:tblStyleRowBandSize w:val="1"/>
      <w:tblStyleColBandSize w:val="1"/>
    </w:tblPr>
  </w:style>
  <w:style w:type="paragraph" w:customStyle="1" w:styleId="CharChar">
    <w:name w:val="Char Знак Знак Char Знак Знак Знак Знак Знак Знак Знак Знак Знак Знак Знак Знак Знак"/>
    <w:basedOn w:val="a"/>
    <w:rsid w:val="005F14D3"/>
    <w:pPr>
      <w:spacing w:after="0" w:line="240" w:lineRule="auto"/>
    </w:pPr>
    <w:rPr>
      <w:rFonts w:ascii="Verdana" w:eastAsia="Times New Roman" w:hAnsi="Verdana" w:cs="Times New Roman"/>
      <w:sz w:val="20"/>
      <w:szCs w:val="20"/>
      <w:lang w:val="en-US" w:eastAsia="en-US"/>
    </w:rPr>
  </w:style>
  <w:style w:type="paragraph" w:styleId="a7">
    <w:name w:val="header"/>
    <w:basedOn w:val="a"/>
    <w:link w:val="a8"/>
    <w:uiPriority w:val="99"/>
    <w:unhideWhenUsed/>
    <w:rsid w:val="006153D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153DF"/>
  </w:style>
  <w:style w:type="paragraph" w:styleId="a9">
    <w:name w:val="footer"/>
    <w:basedOn w:val="a"/>
    <w:link w:val="aa"/>
    <w:uiPriority w:val="99"/>
    <w:unhideWhenUsed/>
    <w:rsid w:val="006153D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15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68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CC0E2-74AD-4D00-BA46-AF9708626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355</Words>
  <Characters>2025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 Biriukov</dc:creator>
  <cp:lastModifiedBy>Олег Іванович Бірюков</cp:lastModifiedBy>
  <cp:revision>10</cp:revision>
  <dcterms:created xsi:type="dcterms:W3CDTF">2024-10-07T06:13:00Z</dcterms:created>
  <dcterms:modified xsi:type="dcterms:W3CDTF">2025-04-30T07:56:00Z</dcterms:modified>
</cp:coreProperties>
</file>