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89F" w:rsidRPr="0026589F" w:rsidRDefault="0026589F" w:rsidP="0026589F">
      <w:pPr>
        <w:spacing w:after="0" w:line="240" w:lineRule="auto"/>
        <w:jc w:val="center"/>
        <w:rPr>
          <w:rFonts w:ascii="Times New Roman" w:hAnsi="Times New Roman"/>
          <w:b/>
          <w:sz w:val="28"/>
          <w:szCs w:val="28"/>
        </w:rPr>
      </w:pPr>
      <w:bookmarkStart w:id="0" w:name="_GoBack"/>
      <w:bookmarkEnd w:id="0"/>
      <w:r w:rsidRPr="0026589F">
        <w:rPr>
          <w:rFonts w:ascii="Times New Roman" w:hAnsi="Times New Roman"/>
          <w:b/>
          <w:sz w:val="28"/>
          <w:szCs w:val="28"/>
        </w:rPr>
        <w:t>ПОРІВНЯЛЬНА ТАБЛИЦЯ</w:t>
      </w:r>
    </w:p>
    <w:p w:rsidR="0026589F" w:rsidRPr="0026589F" w:rsidRDefault="0026589F" w:rsidP="0026589F">
      <w:pPr>
        <w:spacing w:after="0" w:line="240" w:lineRule="auto"/>
        <w:jc w:val="center"/>
        <w:rPr>
          <w:rFonts w:ascii="Times New Roman" w:hAnsi="Times New Roman"/>
          <w:b/>
          <w:sz w:val="28"/>
          <w:szCs w:val="28"/>
        </w:rPr>
      </w:pPr>
      <w:r w:rsidRPr="0026589F">
        <w:rPr>
          <w:rFonts w:ascii="Times New Roman" w:hAnsi="Times New Roman"/>
          <w:b/>
          <w:sz w:val="28"/>
          <w:szCs w:val="28"/>
        </w:rPr>
        <w:t>до проєкту наказу Міністерства економіки</w:t>
      </w:r>
      <w:r w:rsidR="001D387C">
        <w:rPr>
          <w:rFonts w:ascii="Times New Roman" w:hAnsi="Times New Roman"/>
          <w:b/>
          <w:sz w:val="28"/>
          <w:szCs w:val="28"/>
          <w:lang w:val="ru-RU"/>
        </w:rPr>
        <w:t xml:space="preserve"> та </w:t>
      </w:r>
      <w:r w:rsidRPr="0026589F">
        <w:rPr>
          <w:rFonts w:ascii="Times New Roman" w:hAnsi="Times New Roman"/>
          <w:b/>
          <w:sz w:val="28"/>
          <w:szCs w:val="28"/>
        </w:rPr>
        <w:t>довкілля України</w:t>
      </w:r>
    </w:p>
    <w:p w:rsidR="0026589F" w:rsidRDefault="0026589F" w:rsidP="0026589F">
      <w:pPr>
        <w:spacing w:after="0" w:line="240" w:lineRule="auto"/>
        <w:jc w:val="center"/>
        <w:rPr>
          <w:rFonts w:ascii="Times New Roman" w:hAnsi="Times New Roman"/>
          <w:b/>
          <w:sz w:val="28"/>
          <w:szCs w:val="28"/>
        </w:rPr>
      </w:pPr>
      <w:r w:rsidRPr="0026589F">
        <w:rPr>
          <w:rFonts w:ascii="Times New Roman" w:hAnsi="Times New Roman"/>
          <w:b/>
          <w:sz w:val="28"/>
          <w:szCs w:val="28"/>
        </w:rPr>
        <w:t>«Про внесення змін до</w:t>
      </w:r>
      <w:r w:rsidR="006F191A">
        <w:rPr>
          <w:rFonts w:ascii="Times New Roman" w:hAnsi="Times New Roman"/>
          <w:b/>
          <w:sz w:val="28"/>
          <w:szCs w:val="28"/>
        </w:rPr>
        <w:t xml:space="preserve"> </w:t>
      </w:r>
      <w:r w:rsidR="006F191A" w:rsidRPr="006F191A">
        <w:rPr>
          <w:rFonts w:ascii="Times New Roman" w:hAnsi="Times New Roman"/>
          <w:b/>
          <w:sz w:val="28"/>
          <w:szCs w:val="28"/>
        </w:rPr>
        <w:t>деяких наказів Міністерства екології та природних ресурсів України</w:t>
      </w:r>
      <w:r w:rsidRPr="0026589F">
        <w:rPr>
          <w:rFonts w:ascii="Times New Roman" w:hAnsi="Times New Roman"/>
          <w:b/>
          <w:sz w:val="28"/>
          <w:szCs w:val="28"/>
        </w:rPr>
        <w:t>»</w:t>
      </w:r>
    </w:p>
    <w:p w:rsidR="001A66A3" w:rsidRPr="0026589F" w:rsidRDefault="001A66A3" w:rsidP="0026589F">
      <w:pPr>
        <w:spacing w:after="0" w:line="240" w:lineRule="auto"/>
        <w:jc w:val="center"/>
        <w:rPr>
          <w:rFonts w:ascii="Times New Roman" w:hAnsi="Times New Roman"/>
          <w:b/>
          <w:sz w:val="28"/>
          <w:szCs w:val="28"/>
        </w:rPr>
      </w:pPr>
    </w:p>
    <w:tbl>
      <w:tblPr>
        <w:tblStyle w:val="a3"/>
        <w:tblW w:w="0" w:type="auto"/>
        <w:tblLook w:val="04A0" w:firstRow="1" w:lastRow="0" w:firstColumn="1" w:lastColumn="0" w:noHBand="0" w:noVBand="1"/>
      </w:tblPr>
      <w:tblGrid>
        <w:gridCol w:w="7564"/>
        <w:gridCol w:w="7564"/>
      </w:tblGrid>
      <w:tr w:rsidR="0026589F" w:rsidRPr="0026589F" w:rsidTr="0026589F">
        <w:tc>
          <w:tcPr>
            <w:tcW w:w="7564" w:type="dxa"/>
          </w:tcPr>
          <w:p w:rsidR="0026589F" w:rsidRPr="0026589F" w:rsidRDefault="0026589F" w:rsidP="0026589F">
            <w:pPr>
              <w:jc w:val="center"/>
              <w:rPr>
                <w:rFonts w:ascii="Times New Roman" w:hAnsi="Times New Roman"/>
                <w:b/>
                <w:sz w:val="28"/>
                <w:szCs w:val="28"/>
              </w:rPr>
            </w:pPr>
            <w:r w:rsidRPr="0026589F">
              <w:rPr>
                <w:rFonts w:ascii="Times New Roman" w:hAnsi="Times New Roman"/>
                <w:b/>
                <w:sz w:val="28"/>
                <w:szCs w:val="28"/>
              </w:rPr>
              <w:t>Зміст положення акта законодавства</w:t>
            </w:r>
          </w:p>
        </w:tc>
        <w:tc>
          <w:tcPr>
            <w:tcW w:w="7564" w:type="dxa"/>
          </w:tcPr>
          <w:p w:rsidR="0026589F" w:rsidRDefault="0026589F" w:rsidP="0026589F">
            <w:pPr>
              <w:jc w:val="center"/>
              <w:rPr>
                <w:rFonts w:ascii="Times New Roman" w:hAnsi="Times New Roman"/>
                <w:b/>
                <w:sz w:val="28"/>
                <w:szCs w:val="28"/>
              </w:rPr>
            </w:pPr>
            <w:r w:rsidRPr="0026589F">
              <w:rPr>
                <w:rFonts w:ascii="Times New Roman" w:hAnsi="Times New Roman"/>
                <w:b/>
                <w:sz w:val="28"/>
                <w:szCs w:val="28"/>
              </w:rPr>
              <w:t>Зміст відповідного положення проєкту акта</w:t>
            </w:r>
          </w:p>
          <w:p w:rsidR="006F191A" w:rsidRPr="0026589F" w:rsidRDefault="006F191A" w:rsidP="0026589F">
            <w:pPr>
              <w:jc w:val="center"/>
              <w:rPr>
                <w:rFonts w:ascii="Times New Roman" w:hAnsi="Times New Roman"/>
                <w:b/>
                <w:sz w:val="28"/>
                <w:szCs w:val="28"/>
              </w:rPr>
            </w:pPr>
          </w:p>
        </w:tc>
      </w:tr>
      <w:tr w:rsidR="0026589F" w:rsidRPr="0026589F" w:rsidTr="005C1AC0">
        <w:tc>
          <w:tcPr>
            <w:tcW w:w="15128" w:type="dxa"/>
            <w:gridSpan w:val="2"/>
          </w:tcPr>
          <w:p w:rsidR="0026589F" w:rsidRDefault="0026589F" w:rsidP="00E614E6">
            <w:pPr>
              <w:jc w:val="center"/>
              <w:rPr>
                <w:rFonts w:ascii="Times New Roman" w:hAnsi="Times New Roman"/>
                <w:b/>
                <w:sz w:val="28"/>
                <w:szCs w:val="28"/>
              </w:rPr>
            </w:pPr>
            <w:r w:rsidRPr="0026589F">
              <w:rPr>
                <w:rFonts w:ascii="Times New Roman" w:hAnsi="Times New Roman"/>
                <w:b/>
                <w:sz w:val="28"/>
                <w:szCs w:val="28"/>
              </w:rPr>
              <w:t>Положення про порядок організації та виконання дослідно-промислової розробки родовищ корисних копалин загальнодержавного значення, затверджене наказом Міністерства екології та природних ресурсів України від 03 березня 2003 року № 34/м, зареєстрован</w:t>
            </w:r>
            <w:r w:rsidR="00E614E6">
              <w:rPr>
                <w:rFonts w:ascii="Times New Roman" w:hAnsi="Times New Roman"/>
                <w:b/>
                <w:sz w:val="28"/>
                <w:szCs w:val="28"/>
              </w:rPr>
              <w:t>им</w:t>
            </w:r>
            <w:r w:rsidRPr="0026589F">
              <w:rPr>
                <w:rFonts w:ascii="Times New Roman" w:hAnsi="Times New Roman"/>
                <w:b/>
                <w:sz w:val="28"/>
                <w:szCs w:val="28"/>
              </w:rPr>
              <w:t xml:space="preserve"> в Міністерстві юстиції України 20 травня 2003 року за № 377/7698</w:t>
            </w:r>
          </w:p>
          <w:p w:rsidR="006F191A" w:rsidRPr="0026589F" w:rsidRDefault="006F191A" w:rsidP="00E614E6">
            <w:pPr>
              <w:jc w:val="center"/>
              <w:rPr>
                <w:rFonts w:ascii="Times New Roman" w:hAnsi="Times New Roman"/>
                <w:b/>
                <w:sz w:val="28"/>
                <w:szCs w:val="28"/>
              </w:rPr>
            </w:pPr>
          </w:p>
        </w:tc>
      </w:tr>
      <w:tr w:rsidR="00CF4AF2" w:rsidRPr="0026589F" w:rsidTr="005C1AC0">
        <w:tc>
          <w:tcPr>
            <w:tcW w:w="15128" w:type="dxa"/>
            <w:gridSpan w:val="2"/>
          </w:tcPr>
          <w:p w:rsidR="00CF4AF2" w:rsidRPr="00704873" w:rsidRDefault="00CF4AF2" w:rsidP="00CF4AF2">
            <w:pPr>
              <w:ind w:firstLine="589"/>
              <w:jc w:val="center"/>
              <w:rPr>
                <w:rFonts w:ascii="Times New Roman" w:hAnsi="Times New Roman"/>
                <w:b/>
                <w:bCs/>
                <w:sz w:val="28"/>
                <w:szCs w:val="28"/>
              </w:rPr>
            </w:pPr>
            <w:r w:rsidRPr="00704873">
              <w:rPr>
                <w:rFonts w:ascii="Times New Roman" w:hAnsi="Times New Roman"/>
                <w:b/>
                <w:bCs/>
                <w:sz w:val="28"/>
                <w:szCs w:val="28"/>
              </w:rPr>
              <w:t>II. Вимоги та умови проведення ДПР</w:t>
            </w:r>
          </w:p>
          <w:p w:rsidR="00CF4AF2" w:rsidRPr="0026589F" w:rsidRDefault="00CF4AF2" w:rsidP="00E614E6">
            <w:pPr>
              <w:jc w:val="center"/>
              <w:rPr>
                <w:rFonts w:ascii="Times New Roman" w:hAnsi="Times New Roman"/>
                <w:b/>
                <w:sz w:val="28"/>
                <w:szCs w:val="28"/>
              </w:rPr>
            </w:pPr>
          </w:p>
        </w:tc>
      </w:tr>
      <w:tr w:rsidR="0026589F" w:rsidTr="0026589F">
        <w:tc>
          <w:tcPr>
            <w:tcW w:w="7564" w:type="dxa"/>
          </w:tcPr>
          <w:p w:rsidR="0026589F" w:rsidRPr="0026589F" w:rsidRDefault="0026589F" w:rsidP="0026589F">
            <w:pPr>
              <w:ind w:firstLine="589"/>
              <w:jc w:val="both"/>
              <w:rPr>
                <w:rFonts w:ascii="Times New Roman" w:hAnsi="Times New Roman"/>
                <w:sz w:val="28"/>
                <w:szCs w:val="28"/>
              </w:rPr>
            </w:pPr>
            <w:r w:rsidRPr="0026589F">
              <w:rPr>
                <w:rFonts w:ascii="Times New Roman" w:hAnsi="Times New Roman"/>
                <w:sz w:val="28"/>
                <w:szCs w:val="28"/>
              </w:rPr>
              <w:t>2.2. Термін ДПР, кількість і умови вилучення мінеральної сировини обґрунтовуються у проєкті ДПР.</w:t>
            </w:r>
          </w:p>
          <w:p w:rsidR="0026589F" w:rsidRDefault="0026589F" w:rsidP="0026589F">
            <w:pPr>
              <w:ind w:firstLine="589"/>
              <w:jc w:val="both"/>
              <w:rPr>
                <w:rFonts w:ascii="Times New Roman" w:hAnsi="Times New Roman"/>
                <w:sz w:val="28"/>
                <w:szCs w:val="28"/>
              </w:rPr>
            </w:pPr>
            <w:r w:rsidRPr="0026589F">
              <w:rPr>
                <w:rFonts w:ascii="Times New Roman" w:hAnsi="Times New Roman"/>
                <w:sz w:val="28"/>
                <w:szCs w:val="28"/>
              </w:rPr>
              <w:t>Строк проведення ДПР не повинен перевищувати трьох років, а для підземних вод, де здійснюється ДПР природного джерельного стоку, - п'яти років.</w:t>
            </w:r>
          </w:p>
          <w:p w:rsidR="0026589F" w:rsidRDefault="0026589F" w:rsidP="0026589F">
            <w:pPr>
              <w:ind w:firstLine="589"/>
              <w:jc w:val="both"/>
              <w:rPr>
                <w:rFonts w:ascii="Times New Roman" w:hAnsi="Times New Roman"/>
                <w:sz w:val="28"/>
                <w:szCs w:val="28"/>
              </w:rPr>
            </w:pPr>
          </w:p>
        </w:tc>
        <w:tc>
          <w:tcPr>
            <w:tcW w:w="7564" w:type="dxa"/>
          </w:tcPr>
          <w:p w:rsidR="0026589F" w:rsidRPr="0026589F" w:rsidRDefault="0026589F" w:rsidP="0026589F">
            <w:pPr>
              <w:ind w:firstLine="589"/>
              <w:jc w:val="both"/>
              <w:rPr>
                <w:rFonts w:ascii="Times New Roman" w:hAnsi="Times New Roman"/>
                <w:sz w:val="28"/>
                <w:szCs w:val="28"/>
              </w:rPr>
            </w:pPr>
            <w:r w:rsidRPr="0026589F">
              <w:rPr>
                <w:rFonts w:ascii="Times New Roman" w:hAnsi="Times New Roman"/>
                <w:sz w:val="28"/>
                <w:szCs w:val="28"/>
              </w:rPr>
              <w:t>2.2. Термін ДПР, кількість і умови вилучення мінеральної сировини обґрунтовуються у проєкті ДПР.</w:t>
            </w:r>
          </w:p>
          <w:p w:rsidR="0026589F" w:rsidRDefault="0026589F" w:rsidP="0026589F">
            <w:pPr>
              <w:ind w:firstLine="589"/>
              <w:jc w:val="both"/>
              <w:rPr>
                <w:rFonts w:ascii="Times New Roman" w:hAnsi="Times New Roman"/>
                <w:sz w:val="28"/>
                <w:szCs w:val="28"/>
              </w:rPr>
            </w:pPr>
            <w:r w:rsidRPr="0026589F">
              <w:rPr>
                <w:rFonts w:ascii="Times New Roman" w:hAnsi="Times New Roman"/>
                <w:sz w:val="28"/>
                <w:szCs w:val="28"/>
              </w:rPr>
              <w:t xml:space="preserve">Строк проведення ДПР не повинен перевищувати трьох років, а для підземних вод, де здійснюється ДПР природного джерельного стоку, </w:t>
            </w:r>
            <w:r w:rsidRPr="0026589F">
              <w:rPr>
                <w:rFonts w:ascii="Times New Roman" w:hAnsi="Times New Roman"/>
                <w:b/>
                <w:sz w:val="28"/>
                <w:szCs w:val="28"/>
              </w:rPr>
              <w:t>та вуглеводнів</w:t>
            </w:r>
            <w:r w:rsidRPr="0026589F">
              <w:rPr>
                <w:rFonts w:ascii="Times New Roman" w:hAnsi="Times New Roman"/>
                <w:sz w:val="28"/>
                <w:szCs w:val="28"/>
              </w:rPr>
              <w:t xml:space="preserve"> - п'яти років.</w:t>
            </w:r>
          </w:p>
        </w:tc>
      </w:tr>
      <w:tr w:rsidR="0026589F" w:rsidTr="0026589F">
        <w:tc>
          <w:tcPr>
            <w:tcW w:w="7564" w:type="dxa"/>
          </w:tcPr>
          <w:p w:rsidR="0026589F" w:rsidRPr="0026589F" w:rsidRDefault="0026589F" w:rsidP="0026589F">
            <w:pPr>
              <w:ind w:firstLine="589"/>
              <w:jc w:val="both"/>
              <w:rPr>
                <w:rFonts w:ascii="Times New Roman" w:hAnsi="Times New Roman"/>
                <w:sz w:val="28"/>
                <w:szCs w:val="28"/>
              </w:rPr>
            </w:pPr>
            <w:r w:rsidRPr="0026589F">
              <w:rPr>
                <w:rFonts w:ascii="Times New Roman" w:hAnsi="Times New Roman"/>
                <w:sz w:val="28"/>
                <w:szCs w:val="28"/>
              </w:rPr>
              <w:t xml:space="preserve">2.3. Обсяг (кількість) корисних копалин (мінеральної сировини), що передбачається до видобутку, визначається для кожного виду корисної копалини та конкретного родовища окремо відповідно до інструкцій </w:t>
            </w:r>
            <w:r w:rsidRPr="006F191A">
              <w:rPr>
                <w:rFonts w:ascii="Times New Roman" w:hAnsi="Times New Roman"/>
                <w:b/>
                <w:sz w:val="28"/>
                <w:szCs w:val="28"/>
              </w:rPr>
              <w:t>Державної комісії України по запасах корисних копалин</w:t>
            </w:r>
            <w:r w:rsidRPr="0026589F">
              <w:rPr>
                <w:rFonts w:ascii="Times New Roman" w:hAnsi="Times New Roman"/>
                <w:sz w:val="28"/>
                <w:szCs w:val="28"/>
              </w:rPr>
              <w:t xml:space="preserve"> із застосування Класифікації запасів і ресурсів корисних копалин державного фонду надр, затвердженої постановою Кабінету Міністрів України від 05 травня 1997 року №  432, але не повинен перевищувати п’яти </w:t>
            </w:r>
            <w:r w:rsidRPr="006F191A">
              <w:rPr>
                <w:rFonts w:ascii="Times New Roman" w:hAnsi="Times New Roman"/>
                <w:b/>
                <w:sz w:val="28"/>
                <w:szCs w:val="28"/>
              </w:rPr>
              <w:t>(для вуглеводнів - десяти)</w:t>
            </w:r>
            <w:r w:rsidRPr="0026589F">
              <w:rPr>
                <w:rFonts w:ascii="Times New Roman" w:hAnsi="Times New Roman"/>
                <w:sz w:val="28"/>
                <w:szCs w:val="28"/>
              </w:rPr>
              <w:t xml:space="preserve"> відсотків від запасів облікованих Державним балансом запасів корисних копалин (крім підземних вод) на </w:t>
            </w:r>
            <w:r w:rsidRPr="0026589F">
              <w:rPr>
                <w:rFonts w:ascii="Times New Roman" w:hAnsi="Times New Roman"/>
                <w:sz w:val="28"/>
                <w:szCs w:val="28"/>
              </w:rPr>
              <w:lastRenderedPageBreak/>
              <w:t>підставі протоколу/протоколів Державної комісії України по запасах корисних копалин, щодо розгляду попередньої геолого-економічної оцінки родовища.</w:t>
            </w:r>
          </w:p>
          <w:p w:rsidR="0026589F" w:rsidRPr="0026589F" w:rsidRDefault="0026589F" w:rsidP="0026589F">
            <w:pPr>
              <w:ind w:firstLine="589"/>
              <w:jc w:val="both"/>
              <w:rPr>
                <w:rFonts w:ascii="Times New Roman" w:hAnsi="Times New Roman"/>
                <w:sz w:val="28"/>
                <w:szCs w:val="28"/>
              </w:rPr>
            </w:pPr>
            <w:r w:rsidRPr="0026589F">
              <w:rPr>
                <w:rFonts w:ascii="Times New Roman" w:hAnsi="Times New Roman"/>
                <w:sz w:val="28"/>
                <w:szCs w:val="28"/>
              </w:rPr>
              <w:t>Для підземних вод з відновлюваними джерелами формування обсяг добового видобутку не повинен перевищувати обсягу відбору (прогнозного відбору) вод з водозабірних споруд, який зазначено в особливих умовах спеціального дозволу на користування надрами.</w:t>
            </w:r>
          </w:p>
          <w:p w:rsidR="0026589F" w:rsidRDefault="0026589F" w:rsidP="00EF7B35">
            <w:pPr>
              <w:ind w:firstLine="589"/>
              <w:jc w:val="both"/>
              <w:rPr>
                <w:rFonts w:ascii="Times New Roman" w:hAnsi="Times New Roman"/>
                <w:sz w:val="28"/>
                <w:szCs w:val="28"/>
              </w:rPr>
            </w:pPr>
            <w:r w:rsidRPr="0026589F">
              <w:rPr>
                <w:rFonts w:ascii="Times New Roman" w:hAnsi="Times New Roman"/>
                <w:b/>
                <w:sz w:val="28"/>
                <w:szCs w:val="28"/>
              </w:rPr>
              <w:t>Н</w:t>
            </w:r>
            <w:r w:rsidR="00EF7B35">
              <w:rPr>
                <w:rFonts w:ascii="Times New Roman" w:hAnsi="Times New Roman"/>
                <w:b/>
                <w:sz w:val="28"/>
                <w:szCs w:val="28"/>
              </w:rPr>
              <w:t>орма відсутня</w:t>
            </w:r>
          </w:p>
        </w:tc>
        <w:tc>
          <w:tcPr>
            <w:tcW w:w="7564" w:type="dxa"/>
          </w:tcPr>
          <w:p w:rsidR="0026589F" w:rsidRPr="0026589F" w:rsidRDefault="0026589F" w:rsidP="0026589F">
            <w:pPr>
              <w:ind w:firstLine="589"/>
              <w:jc w:val="both"/>
              <w:rPr>
                <w:rFonts w:ascii="Times New Roman" w:hAnsi="Times New Roman"/>
                <w:sz w:val="28"/>
                <w:szCs w:val="28"/>
              </w:rPr>
            </w:pPr>
            <w:r w:rsidRPr="0026589F">
              <w:rPr>
                <w:rFonts w:ascii="Times New Roman" w:hAnsi="Times New Roman"/>
                <w:sz w:val="28"/>
                <w:szCs w:val="28"/>
              </w:rPr>
              <w:lastRenderedPageBreak/>
              <w:t xml:space="preserve">2.3. </w:t>
            </w:r>
            <w:r w:rsidR="001575CF" w:rsidRPr="001575CF">
              <w:rPr>
                <w:rFonts w:ascii="Times New Roman" w:hAnsi="Times New Roman"/>
                <w:sz w:val="28"/>
                <w:szCs w:val="28"/>
              </w:rPr>
              <w:t>Обсяг (кількість) корисних копалин (мінеральної сировини), що передбачається до видобутку, визначається для кожного виду корисної копалини та конкретного родовища окремо відповідно до інструкцій із застосування Класифікації запасів і ресурсів корисних копалин державного фонду надр, затвердженої постановою Кабінету Міністрів України від 05 травня 1997 року №  432, але не повинен перевищувати п’яти відсотків від запасів облікованих Державним балансом запасів корисних копалин (крім підземних вод</w:t>
            </w:r>
            <w:r w:rsidR="001575CF" w:rsidRPr="001575CF">
              <w:rPr>
                <w:rFonts w:ascii="Times New Roman" w:hAnsi="Times New Roman"/>
                <w:b/>
                <w:bCs/>
                <w:sz w:val="28"/>
                <w:szCs w:val="28"/>
              </w:rPr>
              <w:t xml:space="preserve"> та вуглеводнів</w:t>
            </w:r>
            <w:r w:rsidR="001575CF" w:rsidRPr="001575CF">
              <w:rPr>
                <w:rFonts w:ascii="Times New Roman" w:hAnsi="Times New Roman"/>
                <w:sz w:val="28"/>
                <w:szCs w:val="28"/>
              </w:rPr>
              <w:t xml:space="preserve">) на підставі протоколу/протоколів Державної комісії України по запасах </w:t>
            </w:r>
            <w:r w:rsidR="001575CF" w:rsidRPr="001575CF">
              <w:rPr>
                <w:rFonts w:ascii="Times New Roman" w:hAnsi="Times New Roman"/>
                <w:sz w:val="28"/>
                <w:szCs w:val="28"/>
              </w:rPr>
              <w:lastRenderedPageBreak/>
              <w:t>корисних копалин, щодо розгляду попередньої геолого-економічної оцінки родовища</w:t>
            </w:r>
            <w:r w:rsidRPr="0026589F">
              <w:rPr>
                <w:rFonts w:ascii="Times New Roman" w:hAnsi="Times New Roman"/>
                <w:sz w:val="28"/>
                <w:szCs w:val="28"/>
              </w:rPr>
              <w:t>.</w:t>
            </w:r>
          </w:p>
          <w:p w:rsidR="0026589F" w:rsidRPr="0026589F" w:rsidRDefault="0026589F" w:rsidP="0026589F">
            <w:pPr>
              <w:ind w:firstLine="589"/>
              <w:jc w:val="both"/>
              <w:rPr>
                <w:rFonts w:ascii="Times New Roman" w:hAnsi="Times New Roman"/>
                <w:sz w:val="28"/>
                <w:szCs w:val="28"/>
              </w:rPr>
            </w:pPr>
          </w:p>
          <w:p w:rsidR="0026589F" w:rsidRPr="0026589F" w:rsidRDefault="0026589F" w:rsidP="0026589F">
            <w:pPr>
              <w:ind w:firstLine="589"/>
              <w:jc w:val="both"/>
              <w:rPr>
                <w:rFonts w:ascii="Times New Roman" w:hAnsi="Times New Roman"/>
                <w:sz w:val="28"/>
                <w:szCs w:val="28"/>
              </w:rPr>
            </w:pPr>
            <w:r w:rsidRPr="0026589F">
              <w:rPr>
                <w:rFonts w:ascii="Times New Roman" w:hAnsi="Times New Roman"/>
                <w:sz w:val="28"/>
                <w:szCs w:val="28"/>
              </w:rPr>
              <w:t>Для підземних вод з відновлюваними джерелами формування обсяг добового видобутку не повинен перевищувати обсягу відбору (прогнозного відбору) вод з водозабірних споруд, який зазначено в особливих умовах спеціального дозволу на користування надрами.</w:t>
            </w:r>
          </w:p>
          <w:p w:rsidR="0026589F" w:rsidRDefault="001575CF" w:rsidP="0026589F">
            <w:pPr>
              <w:ind w:firstLine="589"/>
              <w:jc w:val="both"/>
              <w:rPr>
                <w:rFonts w:ascii="Times New Roman" w:hAnsi="Times New Roman"/>
                <w:sz w:val="28"/>
                <w:szCs w:val="28"/>
              </w:rPr>
            </w:pPr>
            <w:r w:rsidRPr="001575CF">
              <w:rPr>
                <w:rFonts w:ascii="Times New Roman" w:hAnsi="Times New Roman"/>
                <w:b/>
                <w:sz w:val="28"/>
                <w:szCs w:val="28"/>
              </w:rPr>
              <w:t xml:space="preserve">Для родовищ (покладів) вуглеводнів із вмістом стабільного конденсату в пластовому газі понад </w:t>
            </w:r>
            <w:r w:rsidR="007B10B0">
              <w:rPr>
                <w:rFonts w:ascii="Times New Roman" w:hAnsi="Times New Roman"/>
                <w:b/>
                <w:sz w:val="28"/>
                <w:szCs w:val="28"/>
              </w:rPr>
              <w:br/>
            </w:r>
            <w:r w:rsidRPr="001575CF">
              <w:rPr>
                <w:rFonts w:ascii="Times New Roman" w:hAnsi="Times New Roman"/>
                <w:b/>
                <w:sz w:val="28"/>
                <w:szCs w:val="28"/>
              </w:rPr>
              <w:t>150 см</w:t>
            </w:r>
            <w:r w:rsidRPr="001575CF">
              <w:rPr>
                <w:rFonts w:ascii="Times New Roman" w:hAnsi="Times New Roman"/>
                <w:b/>
                <w:sz w:val="28"/>
                <w:szCs w:val="28"/>
                <w:vertAlign w:val="superscript"/>
              </w:rPr>
              <w:t>3</w:t>
            </w:r>
            <w:r w:rsidRPr="001575CF">
              <w:rPr>
                <w:rFonts w:ascii="Times New Roman" w:hAnsi="Times New Roman"/>
                <w:b/>
                <w:sz w:val="28"/>
                <w:szCs w:val="28"/>
              </w:rPr>
              <w:t>/м</w:t>
            </w:r>
            <w:r w:rsidRPr="001575CF">
              <w:rPr>
                <w:rFonts w:ascii="Times New Roman" w:hAnsi="Times New Roman"/>
                <w:b/>
                <w:sz w:val="28"/>
                <w:szCs w:val="28"/>
                <w:vertAlign w:val="superscript"/>
              </w:rPr>
              <w:t>3</w:t>
            </w:r>
            <w:r w:rsidRPr="001575CF">
              <w:rPr>
                <w:rFonts w:ascii="Times New Roman" w:hAnsi="Times New Roman"/>
                <w:b/>
                <w:sz w:val="28"/>
                <w:szCs w:val="28"/>
              </w:rPr>
              <w:t xml:space="preserve"> та покладів вуглеводнів, для яких чітко не встановлено відсутність нафтової облямівки промислового значення, обсяг (кількість), що передбачається до видобутку, не повинен перевищувати десяти відсотків від запасів облікованих Державним балансом запасів корисних копалин на підставі протоколу/протоколів Державної комісії України по запасах корисних копалин, щодо розгляду попередньої геолого-економічної оцінки родовища</w:t>
            </w:r>
            <w:r w:rsidR="0026589F" w:rsidRPr="0026589F">
              <w:rPr>
                <w:rFonts w:ascii="Times New Roman" w:hAnsi="Times New Roman"/>
                <w:sz w:val="28"/>
                <w:szCs w:val="28"/>
              </w:rPr>
              <w:t>.</w:t>
            </w:r>
          </w:p>
          <w:p w:rsidR="00EF7B35" w:rsidRDefault="00EF7B35" w:rsidP="0026589F">
            <w:pPr>
              <w:ind w:firstLine="589"/>
              <w:jc w:val="both"/>
              <w:rPr>
                <w:rFonts w:ascii="Times New Roman" w:hAnsi="Times New Roman"/>
                <w:sz w:val="28"/>
                <w:szCs w:val="28"/>
              </w:rPr>
            </w:pPr>
          </w:p>
        </w:tc>
      </w:tr>
      <w:tr w:rsidR="006F191A" w:rsidTr="00D203B4">
        <w:tc>
          <w:tcPr>
            <w:tcW w:w="15128" w:type="dxa"/>
            <w:gridSpan w:val="2"/>
          </w:tcPr>
          <w:p w:rsidR="006F191A" w:rsidRDefault="006F191A" w:rsidP="006F191A">
            <w:pPr>
              <w:ind w:firstLine="589"/>
              <w:jc w:val="center"/>
              <w:rPr>
                <w:rFonts w:ascii="Times New Roman" w:hAnsi="Times New Roman"/>
                <w:b/>
                <w:sz w:val="28"/>
                <w:szCs w:val="28"/>
              </w:rPr>
            </w:pPr>
            <w:r w:rsidRPr="008223B7">
              <w:rPr>
                <w:rFonts w:ascii="Times New Roman" w:hAnsi="Times New Roman"/>
                <w:b/>
                <w:sz w:val="28"/>
                <w:szCs w:val="28"/>
              </w:rPr>
              <w:lastRenderedPageBreak/>
              <w:t>Правил</w:t>
            </w:r>
            <w:r>
              <w:rPr>
                <w:rFonts w:ascii="Times New Roman" w:hAnsi="Times New Roman"/>
                <w:b/>
                <w:sz w:val="28"/>
                <w:szCs w:val="28"/>
              </w:rPr>
              <w:t>а</w:t>
            </w:r>
            <w:r w:rsidRPr="008223B7">
              <w:rPr>
                <w:rFonts w:ascii="Times New Roman" w:hAnsi="Times New Roman"/>
                <w:b/>
                <w:sz w:val="28"/>
                <w:szCs w:val="28"/>
              </w:rPr>
              <w:t xml:space="preserve"> розробки нафтови</w:t>
            </w:r>
            <w:r>
              <w:rPr>
                <w:rFonts w:ascii="Times New Roman" w:hAnsi="Times New Roman"/>
                <w:b/>
                <w:sz w:val="28"/>
                <w:szCs w:val="28"/>
              </w:rPr>
              <w:t>х і газових родовищ, затверджені</w:t>
            </w:r>
            <w:r w:rsidRPr="008223B7">
              <w:rPr>
                <w:rFonts w:ascii="Times New Roman" w:hAnsi="Times New Roman"/>
                <w:b/>
                <w:sz w:val="28"/>
                <w:szCs w:val="28"/>
              </w:rPr>
              <w:t xml:space="preserve"> наказом Міністерства екології та природних ресурсів України від 15 березня 2017 року № 118, зареєстрованим в Міністерстві юстиції У</w:t>
            </w:r>
            <w:r>
              <w:rPr>
                <w:rFonts w:ascii="Times New Roman" w:hAnsi="Times New Roman"/>
                <w:b/>
                <w:sz w:val="28"/>
                <w:szCs w:val="28"/>
              </w:rPr>
              <w:t>країни 02 червня 2017 року за № </w:t>
            </w:r>
            <w:r w:rsidRPr="008223B7">
              <w:rPr>
                <w:rFonts w:ascii="Times New Roman" w:hAnsi="Times New Roman"/>
                <w:b/>
                <w:sz w:val="28"/>
                <w:szCs w:val="28"/>
              </w:rPr>
              <w:t>692/30560</w:t>
            </w:r>
          </w:p>
          <w:p w:rsidR="006F191A" w:rsidRPr="0026589F" w:rsidRDefault="006F191A" w:rsidP="006F191A">
            <w:pPr>
              <w:ind w:firstLine="589"/>
              <w:jc w:val="center"/>
              <w:rPr>
                <w:rFonts w:ascii="Times New Roman" w:hAnsi="Times New Roman"/>
                <w:sz w:val="28"/>
                <w:szCs w:val="28"/>
              </w:rPr>
            </w:pPr>
          </w:p>
        </w:tc>
      </w:tr>
      <w:tr w:rsidR="00CF4AF2" w:rsidTr="002D31D2">
        <w:tc>
          <w:tcPr>
            <w:tcW w:w="15128" w:type="dxa"/>
            <w:gridSpan w:val="2"/>
          </w:tcPr>
          <w:p w:rsidR="00CF4AF2" w:rsidRPr="00704873" w:rsidRDefault="00CF4AF2" w:rsidP="00CF4AF2">
            <w:pPr>
              <w:ind w:firstLine="589"/>
              <w:jc w:val="center"/>
              <w:rPr>
                <w:rFonts w:ascii="Times New Roman" w:hAnsi="Times New Roman"/>
                <w:b/>
                <w:bCs/>
                <w:sz w:val="28"/>
                <w:szCs w:val="28"/>
              </w:rPr>
            </w:pPr>
            <w:r w:rsidRPr="00704873">
              <w:rPr>
                <w:rFonts w:ascii="Times New Roman" w:hAnsi="Times New Roman"/>
                <w:b/>
                <w:bCs/>
                <w:sz w:val="28"/>
                <w:szCs w:val="28"/>
              </w:rPr>
              <w:t>VII. Промислова розробка родовищ (покладів)</w:t>
            </w:r>
          </w:p>
          <w:p w:rsidR="00CF4AF2" w:rsidRPr="00CF4AF2" w:rsidRDefault="00CF4AF2" w:rsidP="00CF4AF2">
            <w:pPr>
              <w:ind w:firstLine="589"/>
              <w:jc w:val="center"/>
              <w:rPr>
                <w:rFonts w:ascii="Times New Roman" w:hAnsi="Times New Roman"/>
                <w:b/>
                <w:sz w:val="28"/>
                <w:szCs w:val="28"/>
              </w:rPr>
            </w:pPr>
          </w:p>
        </w:tc>
      </w:tr>
      <w:tr w:rsidR="00CF4AF2" w:rsidTr="008E5BF5">
        <w:tc>
          <w:tcPr>
            <w:tcW w:w="7564" w:type="dxa"/>
          </w:tcPr>
          <w:p w:rsidR="00CF4AF2" w:rsidRPr="00CF4AF2" w:rsidRDefault="00CF4AF2" w:rsidP="00CF4AF2">
            <w:pPr>
              <w:ind w:firstLine="589"/>
              <w:jc w:val="both"/>
              <w:rPr>
                <w:rFonts w:ascii="Times New Roman" w:hAnsi="Times New Roman"/>
                <w:bCs/>
                <w:sz w:val="28"/>
                <w:szCs w:val="28"/>
              </w:rPr>
            </w:pPr>
            <w:r w:rsidRPr="00CF4AF2">
              <w:rPr>
                <w:rFonts w:ascii="Times New Roman" w:hAnsi="Times New Roman"/>
                <w:bCs/>
                <w:sz w:val="28"/>
                <w:szCs w:val="28"/>
              </w:rPr>
              <w:t xml:space="preserve">6. Розробка родовищ (покладів), площа яких частково або повністю збігається з площею підземного сховища газу (далі </w:t>
            </w:r>
            <w:r>
              <w:rPr>
                <w:rFonts w:ascii="Times New Roman" w:hAnsi="Times New Roman"/>
                <w:bCs/>
                <w:sz w:val="28"/>
                <w:szCs w:val="28"/>
              </w:rPr>
              <w:t>–</w:t>
            </w:r>
            <w:r w:rsidRPr="00CF4AF2">
              <w:rPr>
                <w:rFonts w:ascii="Times New Roman" w:hAnsi="Times New Roman"/>
                <w:bCs/>
                <w:sz w:val="28"/>
                <w:szCs w:val="28"/>
              </w:rPr>
              <w:t xml:space="preserve"> ПСГ), допускається за відсутності взаємного впливу </w:t>
            </w:r>
            <w:r w:rsidRPr="00CF4AF2">
              <w:rPr>
                <w:rFonts w:ascii="Times New Roman" w:hAnsi="Times New Roman"/>
                <w:bCs/>
                <w:sz w:val="28"/>
                <w:szCs w:val="28"/>
              </w:rPr>
              <w:lastRenderedPageBreak/>
              <w:t>ПСГ і родовища.</w:t>
            </w:r>
          </w:p>
          <w:p w:rsidR="00CF4AF2" w:rsidRDefault="00CF4AF2" w:rsidP="00CF4AF2">
            <w:pPr>
              <w:ind w:firstLine="589"/>
              <w:jc w:val="both"/>
              <w:rPr>
                <w:rFonts w:ascii="Times New Roman" w:hAnsi="Times New Roman"/>
                <w:bCs/>
                <w:sz w:val="28"/>
                <w:szCs w:val="28"/>
              </w:rPr>
            </w:pPr>
          </w:p>
          <w:p w:rsidR="00B83B8A" w:rsidRPr="00B83B8A" w:rsidRDefault="00B83B8A" w:rsidP="00CF4AF2">
            <w:pPr>
              <w:ind w:firstLine="589"/>
              <w:jc w:val="both"/>
              <w:rPr>
                <w:rFonts w:ascii="Times New Roman" w:hAnsi="Times New Roman"/>
                <w:b/>
                <w:sz w:val="28"/>
                <w:szCs w:val="28"/>
              </w:rPr>
            </w:pPr>
            <w:r w:rsidRPr="00B83B8A">
              <w:rPr>
                <w:rFonts w:ascii="Times New Roman" w:hAnsi="Times New Roman"/>
                <w:b/>
                <w:sz w:val="28"/>
                <w:szCs w:val="28"/>
              </w:rPr>
              <w:t>Норма відсутня</w:t>
            </w: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Default="00B83B8A" w:rsidP="00CF4AF2">
            <w:pPr>
              <w:ind w:firstLine="589"/>
              <w:jc w:val="both"/>
              <w:rPr>
                <w:rFonts w:ascii="Times New Roman" w:hAnsi="Times New Roman"/>
                <w:bCs/>
                <w:sz w:val="28"/>
                <w:szCs w:val="28"/>
              </w:rPr>
            </w:pPr>
          </w:p>
          <w:p w:rsidR="00B83B8A" w:rsidRPr="00CF4AF2" w:rsidRDefault="00B83B8A" w:rsidP="00CF4AF2">
            <w:pPr>
              <w:ind w:firstLine="589"/>
              <w:jc w:val="both"/>
              <w:rPr>
                <w:rFonts w:ascii="Times New Roman" w:hAnsi="Times New Roman"/>
                <w:bCs/>
                <w:sz w:val="28"/>
                <w:szCs w:val="28"/>
              </w:rPr>
            </w:pPr>
          </w:p>
          <w:p w:rsidR="007C7038" w:rsidRDefault="007C7038" w:rsidP="00CF4AF2">
            <w:pPr>
              <w:ind w:firstLine="589"/>
              <w:jc w:val="both"/>
              <w:rPr>
                <w:rFonts w:ascii="Times New Roman" w:hAnsi="Times New Roman"/>
                <w:bCs/>
                <w:sz w:val="28"/>
                <w:szCs w:val="28"/>
              </w:rPr>
            </w:pPr>
          </w:p>
          <w:p w:rsidR="007C7038" w:rsidRDefault="007C7038" w:rsidP="00CF4AF2">
            <w:pPr>
              <w:ind w:firstLine="589"/>
              <w:jc w:val="both"/>
              <w:rPr>
                <w:rFonts w:ascii="Times New Roman" w:hAnsi="Times New Roman"/>
                <w:bCs/>
                <w:sz w:val="28"/>
                <w:szCs w:val="28"/>
              </w:rPr>
            </w:pPr>
          </w:p>
          <w:p w:rsidR="007C7038" w:rsidRDefault="007C7038" w:rsidP="00CF4AF2">
            <w:pPr>
              <w:ind w:firstLine="589"/>
              <w:jc w:val="both"/>
              <w:rPr>
                <w:rFonts w:ascii="Times New Roman" w:hAnsi="Times New Roman"/>
                <w:bCs/>
                <w:sz w:val="28"/>
                <w:szCs w:val="28"/>
              </w:rPr>
            </w:pPr>
          </w:p>
          <w:p w:rsidR="007C7038" w:rsidRDefault="007C7038" w:rsidP="00CF4AF2">
            <w:pPr>
              <w:ind w:firstLine="589"/>
              <w:jc w:val="both"/>
              <w:rPr>
                <w:rFonts w:ascii="Times New Roman" w:hAnsi="Times New Roman"/>
                <w:bCs/>
                <w:sz w:val="28"/>
                <w:szCs w:val="28"/>
              </w:rPr>
            </w:pPr>
          </w:p>
          <w:p w:rsidR="00A01294" w:rsidRDefault="00A01294" w:rsidP="00CF4AF2">
            <w:pPr>
              <w:ind w:firstLine="589"/>
              <w:jc w:val="both"/>
              <w:rPr>
                <w:rFonts w:ascii="Times New Roman" w:hAnsi="Times New Roman"/>
                <w:bCs/>
                <w:sz w:val="28"/>
                <w:szCs w:val="28"/>
              </w:rPr>
            </w:pPr>
          </w:p>
          <w:p w:rsidR="00284D5D" w:rsidRDefault="00284D5D" w:rsidP="00CF4AF2">
            <w:pPr>
              <w:ind w:firstLine="589"/>
              <w:jc w:val="both"/>
              <w:rPr>
                <w:rFonts w:ascii="Times New Roman" w:hAnsi="Times New Roman"/>
                <w:bCs/>
                <w:sz w:val="28"/>
                <w:szCs w:val="28"/>
              </w:rPr>
            </w:pPr>
          </w:p>
          <w:p w:rsidR="00284D5D" w:rsidRDefault="00284D5D" w:rsidP="00CF4AF2">
            <w:pPr>
              <w:ind w:firstLine="589"/>
              <w:jc w:val="both"/>
              <w:rPr>
                <w:rFonts w:ascii="Times New Roman" w:hAnsi="Times New Roman"/>
                <w:bCs/>
                <w:sz w:val="28"/>
                <w:szCs w:val="28"/>
              </w:rPr>
            </w:pPr>
          </w:p>
          <w:p w:rsidR="00CF4AF2" w:rsidRPr="00CF4AF2" w:rsidRDefault="00CF4AF2" w:rsidP="00CF4AF2">
            <w:pPr>
              <w:ind w:firstLine="589"/>
              <w:jc w:val="both"/>
              <w:rPr>
                <w:rFonts w:ascii="Times New Roman" w:hAnsi="Times New Roman"/>
                <w:bCs/>
                <w:sz w:val="28"/>
                <w:szCs w:val="28"/>
              </w:rPr>
            </w:pPr>
            <w:r w:rsidRPr="00CF4AF2">
              <w:rPr>
                <w:rFonts w:ascii="Times New Roman" w:hAnsi="Times New Roman"/>
                <w:bCs/>
                <w:sz w:val="28"/>
                <w:szCs w:val="28"/>
              </w:rPr>
              <w:t>Проєктування й введення в промислову розробку родовищ нафти і газу здійснюють на основі запасів, затверджених в установленому порядку.</w:t>
            </w:r>
          </w:p>
          <w:p w:rsidR="00CF4AF2" w:rsidRPr="00CF4AF2" w:rsidRDefault="00CF4AF2" w:rsidP="00CF4AF2">
            <w:pPr>
              <w:ind w:firstLine="589"/>
              <w:jc w:val="both"/>
              <w:rPr>
                <w:rFonts w:ascii="Times New Roman" w:hAnsi="Times New Roman"/>
                <w:bCs/>
                <w:sz w:val="28"/>
                <w:szCs w:val="28"/>
              </w:rPr>
            </w:pPr>
          </w:p>
          <w:p w:rsidR="00CF4AF2" w:rsidRPr="00CF4AF2" w:rsidRDefault="00CF4AF2" w:rsidP="00CF4AF2">
            <w:pPr>
              <w:ind w:firstLine="589"/>
              <w:jc w:val="both"/>
              <w:rPr>
                <w:rFonts w:ascii="Times New Roman" w:hAnsi="Times New Roman"/>
                <w:bCs/>
                <w:sz w:val="28"/>
                <w:szCs w:val="28"/>
              </w:rPr>
            </w:pPr>
            <w:r w:rsidRPr="00CF4AF2">
              <w:rPr>
                <w:rFonts w:ascii="Times New Roman" w:hAnsi="Times New Roman"/>
                <w:bCs/>
                <w:sz w:val="28"/>
                <w:szCs w:val="28"/>
              </w:rPr>
              <w:t>Промислова розробка нафтових, газових і газоконденсатних родовищ повинна здійснюватись відповідно до затверджених в установленому порядку проєктів (технологічних схем) промислової розробки родовищ (покладів).</w:t>
            </w:r>
          </w:p>
        </w:tc>
        <w:tc>
          <w:tcPr>
            <w:tcW w:w="7564" w:type="dxa"/>
          </w:tcPr>
          <w:p w:rsidR="00CF4AF2" w:rsidRDefault="00CF4AF2" w:rsidP="00CF4AF2">
            <w:pPr>
              <w:ind w:firstLine="589"/>
              <w:jc w:val="both"/>
              <w:rPr>
                <w:rFonts w:ascii="Times New Roman" w:hAnsi="Times New Roman"/>
                <w:bCs/>
                <w:sz w:val="28"/>
                <w:szCs w:val="28"/>
              </w:rPr>
            </w:pPr>
            <w:r w:rsidRPr="00CF4AF2">
              <w:rPr>
                <w:rFonts w:ascii="Times New Roman" w:hAnsi="Times New Roman"/>
                <w:bCs/>
                <w:sz w:val="28"/>
                <w:szCs w:val="28"/>
              </w:rPr>
              <w:lastRenderedPageBreak/>
              <w:t xml:space="preserve">6. Розробка родовищ (покладів), площа яких частково або повністю збігається з площею підземного сховища газу (далі </w:t>
            </w:r>
            <w:r>
              <w:rPr>
                <w:rFonts w:ascii="Times New Roman" w:hAnsi="Times New Roman"/>
                <w:bCs/>
                <w:sz w:val="28"/>
                <w:szCs w:val="28"/>
              </w:rPr>
              <w:t>–</w:t>
            </w:r>
            <w:r w:rsidRPr="00CF4AF2">
              <w:rPr>
                <w:rFonts w:ascii="Times New Roman" w:hAnsi="Times New Roman"/>
                <w:bCs/>
                <w:sz w:val="28"/>
                <w:szCs w:val="28"/>
              </w:rPr>
              <w:t xml:space="preserve"> ПСГ), допускається за відсутності взаємного впливу </w:t>
            </w:r>
            <w:r w:rsidRPr="00CF4AF2">
              <w:rPr>
                <w:rFonts w:ascii="Times New Roman" w:hAnsi="Times New Roman"/>
                <w:bCs/>
                <w:sz w:val="28"/>
                <w:szCs w:val="28"/>
              </w:rPr>
              <w:lastRenderedPageBreak/>
              <w:t>ПСГ і родовища.</w:t>
            </w:r>
          </w:p>
          <w:p w:rsidR="00B83B8A" w:rsidRPr="00B83B8A" w:rsidRDefault="00B83B8A" w:rsidP="00B83B8A">
            <w:pPr>
              <w:ind w:firstLine="589"/>
              <w:jc w:val="both"/>
              <w:rPr>
                <w:rFonts w:ascii="Times New Roman" w:hAnsi="Times New Roman"/>
                <w:b/>
                <w:sz w:val="28"/>
                <w:szCs w:val="28"/>
              </w:rPr>
            </w:pPr>
            <w:r w:rsidRPr="00B83B8A">
              <w:rPr>
                <w:rFonts w:ascii="Times New Roman" w:hAnsi="Times New Roman"/>
                <w:b/>
                <w:sz w:val="28"/>
                <w:szCs w:val="28"/>
              </w:rPr>
              <w:t xml:space="preserve">У разі наявності експлуатаційних об’єктів нафтогазовидобувних підприємств у межах площі ділянки надрокористування ПСГ, представники оператора ПСГ спільно з представниками нафтогазовидобувного підприємства щороку узгоджують Перелік заходів з контролю герметичності і запобігання виникненню газогідродинамічного зв’язку між об’єктами </w:t>
            </w:r>
            <w:r w:rsidR="008A703F" w:rsidRPr="00886541">
              <w:rPr>
                <w:rFonts w:ascii="Times New Roman" w:hAnsi="Times New Roman"/>
                <w:b/>
                <w:sz w:val="28"/>
                <w:szCs w:val="28"/>
              </w:rPr>
              <w:t>ПСГ</w:t>
            </w:r>
            <w:r w:rsidRPr="00B83B8A">
              <w:rPr>
                <w:rFonts w:ascii="Times New Roman" w:hAnsi="Times New Roman"/>
                <w:b/>
                <w:sz w:val="28"/>
                <w:szCs w:val="28"/>
              </w:rPr>
              <w:t xml:space="preserve"> та об’єктами нафтогазовидобування (далі – Перелік заходів). Перелік заходів узгоджується як на етапі проведення геологорозвідувальних робіт, так і на етапі експлуатації родовища</w:t>
            </w:r>
          </w:p>
          <w:p w:rsidR="00CF4AF2" w:rsidRPr="00B83B8A" w:rsidRDefault="00B83B8A" w:rsidP="00B83B8A">
            <w:pPr>
              <w:ind w:firstLine="589"/>
              <w:jc w:val="both"/>
              <w:rPr>
                <w:rFonts w:ascii="Times New Roman" w:hAnsi="Times New Roman"/>
                <w:b/>
                <w:sz w:val="28"/>
                <w:szCs w:val="28"/>
              </w:rPr>
            </w:pPr>
            <w:r w:rsidRPr="00B83B8A">
              <w:rPr>
                <w:rFonts w:ascii="Times New Roman" w:hAnsi="Times New Roman"/>
                <w:b/>
                <w:sz w:val="28"/>
                <w:szCs w:val="28"/>
              </w:rPr>
              <w:t xml:space="preserve">До Переліку заходів включаються роботи, виконання яких забезпечує здійснення ефективного моніторингу відсутності впливу </w:t>
            </w:r>
            <w:r w:rsidR="00BA4913" w:rsidRPr="00A075B4">
              <w:rPr>
                <w:rFonts w:ascii="Times New Roman" w:hAnsi="Times New Roman"/>
                <w:b/>
                <w:sz w:val="28"/>
                <w:szCs w:val="28"/>
              </w:rPr>
              <w:t xml:space="preserve">процесу експлуатації об’єктів у межах ділянки надр </w:t>
            </w:r>
            <w:r w:rsidRPr="00A075B4">
              <w:rPr>
                <w:rFonts w:ascii="Times New Roman" w:hAnsi="Times New Roman"/>
                <w:b/>
                <w:sz w:val="28"/>
                <w:szCs w:val="28"/>
              </w:rPr>
              <w:t>нафт</w:t>
            </w:r>
            <w:r w:rsidRPr="00B83B8A">
              <w:rPr>
                <w:rFonts w:ascii="Times New Roman" w:hAnsi="Times New Roman"/>
                <w:b/>
                <w:sz w:val="28"/>
                <w:szCs w:val="28"/>
              </w:rPr>
              <w:t>огазовидобувного підприємства на ПСГ, а саме: газогідродинамічні, газоаналітичні, геофізичні та газометричні дослідження; заміри статичних, робочих та міжколонних тисків; контроль за проведенням буріння, поточного, капітального ремонту свердловин видобувного підприємства.</w:t>
            </w:r>
          </w:p>
          <w:p w:rsidR="00B83B8A" w:rsidRDefault="00B83B8A" w:rsidP="00B83B8A">
            <w:pPr>
              <w:ind w:firstLine="589"/>
              <w:jc w:val="both"/>
              <w:rPr>
                <w:rFonts w:ascii="Times New Roman" w:hAnsi="Times New Roman"/>
                <w:b/>
                <w:sz w:val="28"/>
                <w:szCs w:val="28"/>
              </w:rPr>
            </w:pPr>
            <w:r w:rsidRPr="00B83B8A">
              <w:rPr>
                <w:rFonts w:ascii="Times New Roman" w:hAnsi="Times New Roman"/>
                <w:b/>
                <w:sz w:val="28"/>
                <w:szCs w:val="28"/>
              </w:rPr>
              <w:t xml:space="preserve">Роботи та дослідження, наведені в Переліку заходів, </w:t>
            </w:r>
            <w:r w:rsidR="0010621E" w:rsidRPr="00886541">
              <w:rPr>
                <w:rFonts w:ascii="Times New Roman" w:hAnsi="Times New Roman"/>
                <w:b/>
                <w:sz w:val="28"/>
                <w:szCs w:val="28"/>
              </w:rPr>
              <w:t>підлягають коригуванню</w:t>
            </w:r>
            <w:r w:rsidRPr="00886541">
              <w:rPr>
                <w:rFonts w:ascii="Times New Roman" w:hAnsi="Times New Roman"/>
                <w:b/>
                <w:sz w:val="28"/>
                <w:szCs w:val="28"/>
              </w:rPr>
              <w:t>, у тому числі шляхом включення додаткових</w:t>
            </w:r>
            <w:r w:rsidRPr="00B83B8A">
              <w:rPr>
                <w:rFonts w:ascii="Times New Roman" w:hAnsi="Times New Roman"/>
                <w:b/>
                <w:sz w:val="28"/>
                <w:szCs w:val="28"/>
              </w:rPr>
              <w:t xml:space="preserve"> досліджень та робіт з урахуванням вимог проєкту дослідно</w:t>
            </w:r>
            <w:r w:rsidR="00087BB1">
              <w:rPr>
                <w:rFonts w:ascii="Times New Roman" w:hAnsi="Times New Roman"/>
                <w:b/>
                <w:sz w:val="28"/>
                <w:szCs w:val="28"/>
              </w:rPr>
              <w:t>-</w:t>
            </w:r>
            <w:r w:rsidRPr="00B83B8A">
              <w:rPr>
                <w:rFonts w:ascii="Times New Roman" w:hAnsi="Times New Roman"/>
                <w:b/>
                <w:sz w:val="28"/>
                <w:szCs w:val="28"/>
              </w:rPr>
              <w:t>промислової розробки родовища (</w:t>
            </w:r>
            <w:r w:rsidRPr="00886541">
              <w:rPr>
                <w:rFonts w:ascii="Times New Roman" w:hAnsi="Times New Roman"/>
                <w:b/>
                <w:sz w:val="28"/>
                <w:szCs w:val="28"/>
              </w:rPr>
              <w:t>покладів) або проєкту промислової розробки родовища (покладів)</w:t>
            </w:r>
            <w:r w:rsidR="009D36EA" w:rsidRPr="00886541">
              <w:rPr>
                <w:rFonts w:ascii="Times New Roman" w:hAnsi="Times New Roman"/>
                <w:b/>
                <w:sz w:val="28"/>
                <w:szCs w:val="28"/>
              </w:rPr>
              <w:t>,</w:t>
            </w:r>
            <w:r w:rsidRPr="00740327">
              <w:rPr>
                <w:rFonts w:ascii="Times New Roman" w:hAnsi="Times New Roman"/>
                <w:b/>
                <w:color w:val="000000" w:themeColor="text1"/>
                <w:sz w:val="28"/>
                <w:szCs w:val="28"/>
              </w:rPr>
              <w:t xml:space="preserve"> за погодженням між нафтогазовидобувним підприємством і оператором ПСГ</w:t>
            </w:r>
            <w:r w:rsidRPr="00B83B8A">
              <w:rPr>
                <w:rFonts w:ascii="Times New Roman" w:hAnsi="Times New Roman"/>
                <w:b/>
                <w:sz w:val="28"/>
                <w:szCs w:val="28"/>
              </w:rPr>
              <w:t>.</w:t>
            </w:r>
          </w:p>
          <w:p w:rsidR="00A01294" w:rsidRPr="00B83B8A" w:rsidRDefault="00A01294" w:rsidP="00B83B8A">
            <w:pPr>
              <w:ind w:firstLine="589"/>
              <w:jc w:val="both"/>
              <w:rPr>
                <w:rFonts w:ascii="Times New Roman" w:hAnsi="Times New Roman"/>
                <w:b/>
                <w:sz w:val="28"/>
                <w:szCs w:val="28"/>
              </w:rPr>
            </w:pPr>
          </w:p>
          <w:p w:rsidR="00CF4AF2" w:rsidRPr="00CF4AF2" w:rsidRDefault="00CF4AF2" w:rsidP="00CF4AF2">
            <w:pPr>
              <w:ind w:firstLine="589"/>
              <w:jc w:val="both"/>
              <w:rPr>
                <w:rFonts w:ascii="Times New Roman" w:hAnsi="Times New Roman"/>
                <w:bCs/>
                <w:sz w:val="28"/>
                <w:szCs w:val="28"/>
              </w:rPr>
            </w:pPr>
            <w:r w:rsidRPr="00CF4AF2">
              <w:rPr>
                <w:rFonts w:ascii="Times New Roman" w:hAnsi="Times New Roman"/>
                <w:bCs/>
                <w:sz w:val="28"/>
                <w:szCs w:val="28"/>
              </w:rPr>
              <w:t>Проєктування й введення в промислову розробку родовищ нафти і газу здійснюють на основі запасів, затверджених в установленому порядку.</w:t>
            </w:r>
          </w:p>
          <w:p w:rsidR="00CF4AF2" w:rsidRPr="00CF4AF2" w:rsidRDefault="00CF4AF2" w:rsidP="00CF4AF2">
            <w:pPr>
              <w:ind w:firstLine="589"/>
              <w:jc w:val="both"/>
              <w:rPr>
                <w:rFonts w:ascii="Times New Roman" w:hAnsi="Times New Roman"/>
                <w:bCs/>
                <w:sz w:val="28"/>
                <w:szCs w:val="28"/>
              </w:rPr>
            </w:pPr>
          </w:p>
          <w:p w:rsidR="00CF4AF2" w:rsidRDefault="00CF4AF2" w:rsidP="00CF4AF2">
            <w:pPr>
              <w:ind w:firstLine="589"/>
              <w:jc w:val="both"/>
              <w:rPr>
                <w:rFonts w:ascii="Times New Roman" w:hAnsi="Times New Roman"/>
                <w:bCs/>
                <w:sz w:val="28"/>
                <w:szCs w:val="28"/>
              </w:rPr>
            </w:pPr>
            <w:r w:rsidRPr="00CF4AF2">
              <w:rPr>
                <w:rFonts w:ascii="Times New Roman" w:hAnsi="Times New Roman"/>
                <w:bCs/>
                <w:sz w:val="28"/>
                <w:szCs w:val="28"/>
              </w:rPr>
              <w:t>Промислова розробка нафтових, газових і газоконденсатних родовищ повинна здійснюватись відповідно до затверджених в установленому порядку проєктів (технологічних схем) промислової розробки родовищ (покладів).</w:t>
            </w:r>
          </w:p>
          <w:p w:rsidR="00704873" w:rsidRPr="008223B7" w:rsidRDefault="00704873" w:rsidP="00CF4AF2">
            <w:pPr>
              <w:ind w:firstLine="589"/>
              <w:jc w:val="both"/>
              <w:rPr>
                <w:rFonts w:ascii="Times New Roman" w:hAnsi="Times New Roman"/>
                <w:b/>
                <w:sz w:val="28"/>
                <w:szCs w:val="28"/>
              </w:rPr>
            </w:pPr>
          </w:p>
        </w:tc>
      </w:tr>
      <w:tr w:rsidR="00704873" w:rsidTr="007443A2">
        <w:tc>
          <w:tcPr>
            <w:tcW w:w="15128" w:type="dxa"/>
            <w:gridSpan w:val="2"/>
          </w:tcPr>
          <w:p w:rsidR="00704873" w:rsidRPr="00704873" w:rsidRDefault="00704873" w:rsidP="00704873">
            <w:pPr>
              <w:ind w:firstLine="589"/>
              <w:jc w:val="center"/>
              <w:rPr>
                <w:rFonts w:ascii="Times New Roman" w:hAnsi="Times New Roman"/>
                <w:b/>
                <w:bCs/>
                <w:sz w:val="28"/>
                <w:szCs w:val="28"/>
              </w:rPr>
            </w:pPr>
            <w:r w:rsidRPr="00704873">
              <w:rPr>
                <w:rFonts w:ascii="Times New Roman" w:hAnsi="Times New Roman"/>
                <w:b/>
                <w:bCs/>
                <w:sz w:val="28"/>
                <w:szCs w:val="28"/>
              </w:rPr>
              <w:lastRenderedPageBreak/>
              <w:t>IX. Проєкти дослідно-промислової розробки, проєкти (технологічні схеми) промислової розробки родовищ нафти і газу</w:t>
            </w:r>
          </w:p>
          <w:p w:rsidR="00704873" w:rsidRPr="008223B7" w:rsidRDefault="00704873" w:rsidP="00CF4AF2">
            <w:pPr>
              <w:ind w:firstLine="589"/>
              <w:jc w:val="both"/>
              <w:rPr>
                <w:rFonts w:ascii="Times New Roman" w:hAnsi="Times New Roman"/>
                <w:b/>
                <w:sz w:val="28"/>
                <w:szCs w:val="28"/>
              </w:rPr>
            </w:pPr>
          </w:p>
        </w:tc>
      </w:tr>
      <w:tr w:rsidR="006F191A" w:rsidTr="0026589F">
        <w:tc>
          <w:tcPr>
            <w:tcW w:w="7564" w:type="dxa"/>
          </w:tcPr>
          <w:p w:rsidR="006F191A" w:rsidRDefault="006F191A" w:rsidP="006F191A">
            <w:pPr>
              <w:ind w:firstLine="589"/>
              <w:jc w:val="both"/>
              <w:rPr>
                <w:rFonts w:ascii="Times New Roman" w:hAnsi="Times New Roman"/>
                <w:sz w:val="28"/>
                <w:szCs w:val="28"/>
              </w:rPr>
            </w:pPr>
            <w:r w:rsidRPr="008223B7">
              <w:rPr>
                <w:rFonts w:ascii="Times New Roman" w:hAnsi="Times New Roman"/>
                <w:sz w:val="28"/>
                <w:szCs w:val="28"/>
              </w:rPr>
              <w:t>24. Допустиме відхилення фактичного річного видобутку нафти і газу від проєктного не повинно перевищувати 20 % для родовищ 1-5 груп та 50% для родовищ 6, 7 груп розподілу родовищ за величиною видобувних запасів вуглеводнів.</w:t>
            </w:r>
          </w:p>
          <w:p w:rsidR="006F191A" w:rsidRDefault="006F191A" w:rsidP="006F191A">
            <w:pPr>
              <w:ind w:firstLine="589"/>
              <w:jc w:val="both"/>
              <w:rPr>
                <w:rFonts w:ascii="Times New Roman" w:hAnsi="Times New Roman"/>
                <w:sz w:val="28"/>
                <w:szCs w:val="28"/>
              </w:rPr>
            </w:pPr>
            <w:r w:rsidRPr="0026589F">
              <w:rPr>
                <w:rFonts w:ascii="Times New Roman" w:hAnsi="Times New Roman"/>
                <w:b/>
                <w:sz w:val="28"/>
                <w:szCs w:val="28"/>
              </w:rPr>
              <w:t>Н</w:t>
            </w:r>
            <w:r>
              <w:rPr>
                <w:rFonts w:ascii="Times New Roman" w:hAnsi="Times New Roman"/>
                <w:b/>
                <w:sz w:val="28"/>
                <w:szCs w:val="28"/>
              </w:rPr>
              <w:t>орма відсутня</w:t>
            </w:r>
          </w:p>
          <w:p w:rsidR="006F191A" w:rsidRPr="0026589F" w:rsidRDefault="006F191A" w:rsidP="006F191A">
            <w:pPr>
              <w:ind w:firstLine="589"/>
              <w:jc w:val="both"/>
              <w:rPr>
                <w:rFonts w:ascii="Times New Roman" w:hAnsi="Times New Roman"/>
                <w:sz w:val="28"/>
                <w:szCs w:val="28"/>
              </w:rPr>
            </w:pPr>
          </w:p>
        </w:tc>
        <w:tc>
          <w:tcPr>
            <w:tcW w:w="7564" w:type="dxa"/>
          </w:tcPr>
          <w:p w:rsidR="006F191A" w:rsidRDefault="006F191A" w:rsidP="006F191A">
            <w:pPr>
              <w:ind w:firstLine="589"/>
              <w:jc w:val="both"/>
              <w:rPr>
                <w:rFonts w:ascii="Times New Roman" w:hAnsi="Times New Roman"/>
                <w:sz w:val="28"/>
                <w:szCs w:val="28"/>
              </w:rPr>
            </w:pPr>
            <w:r w:rsidRPr="008223B7">
              <w:rPr>
                <w:rFonts w:ascii="Times New Roman" w:hAnsi="Times New Roman"/>
                <w:sz w:val="28"/>
                <w:szCs w:val="28"/>
              </w:rPr>
              <w:t>24. Допустиме відхилення фактичного річного видобутку нафти і газу від проєктного не повинно перевищувати 20 % для родовищ 1-5 груп та 50% для родовищ 6, 7 груп розподілу родовищ за величиною видобувних запасів вуглеводнів.</w:t>
            </w:r>
          </w:p>
          <w:p w:rsidR="006F191A" w:rsidRDefault="006F191A" w:rsidP="006F191A">
            <w:pPr>
              <w:ind w:firstLine="589"/>
              <w:jc w:val="both"/>
              <w:rPr>
                <w:rFonts w:ascii="Times New Roman" w:hAnsi="Times New Roman"/>
                <w:b/>
                <w:sz w:val="28"/>
                <w:szCs w:val="28"/>
              </w:rPr>
            </w:pPr>
            <w:r w:rsidRPr="008223B7">
              <w:rPr>
                <w:rFonts w:ascii="Times New Roman" w:hAnsi="Times New Roman"/>
                <w:b/>
                <w:sz w:val="28"/>
                <w:szCs w:val="28"/>
              </w:rPr>
              <w:t>У період дії в Україні воєнного стану та протягом шести місяців з дня, наступного за днем його припинення або скасування, вимоги цього пункту не застосовуються до родовищ нафти і газу, на яких перевищення допустимого відхилення фактичного річного видобутку від проєктного відбулось у зв’язку із зменшенням видобутку внаслідок ураження (пошкодження) об’єкта (об’єктів) нафтогазовидобування, що використовуються для видобутку, підготовки та транспортування продукції відповідного родовища, внаслідок збройної агресії Російської Федерації, що підтверджується витягом з Єдиного реєстру досудових розслідувань, актом про пожежу (за наявності), складеним відповідно до положень Кодексу цивільного захисту України та Порядку обліку пожеж та їх наслідків, затверджен</w:t>
            </w:r>
            <w:r w:rsidR="00704353">
              <w:rPr>
                <w:rFonts w:ascii="Times New Roman" w:hAnsi="Times New Roman"/>
                <w:b/>
                <w:sz w:val="28"/>
                <w:szCs w:val="28"/>
              </w:rPr>
              <w:t>ого</w:t>
            </w:r>
            <w:r w:rsidRPr="008223B7">
              <w:rPr>
                <w:rFonts w:ascii="Times New Roman" w:hAnsi="Times New Roman"/>
                <w:b/>
                <w:sz w:val="28"/>
                <w:szCs w:val="28"/>
              </w:rPr>
              <w:t xml:space="preserve"> постановою Кабінету Міністрів України від 2</w:t>
            </w:r>
            <w:r w:rsidR="00704353">
              <w:rPr>
                <w:rFonts w:ascii="Times New Roman" w:hAnsi="Times New Roman"/>
                <w:b/>
                <w:sz w:val="28"/>
                <w:szCs w:val="28"/>
              </w:rPr>
              <w:t xml:space="preserve">6 грудня </w:t>
            </w:r>
            <w:r w:rsidRPr="008223B7">
              <w:rPr>
                <w:rFonts w:ascii="Times New Roman" w:hAnsi="Times New Roman"/>
                <w:b/>
                <w:sz w:val="28"/>
                <w:szCs w:val="28"/>
              </w:rPr>
              <w:t>2003</w:t>
            </w:r>
            <w:r w:rsidR="00704353">
              <w:rPr>
                <w:rFonts w:ascii="Times New Roman" w:hAnsi="Times New Roman"/>
                <w:b/>
                <w:sz w:val="28"/>
                <w:szCs w:val="28"/>
              </w:rPr>
              <w:t xml:space="preserve"> року</w:t>
            </w:r>
            <w:r w:rsidRPr="008223B7">
              <w:rPr>
                <w:rFonts w:ascii="Times New Roman" w:hAnsi="Times New Roman"/>
                <w:b/>
                <w:sz w:val="28"/>
                <w:szCs w:val="28"/>
              </w:rPr>
              <w:t xml:space="preserve"> № 2030</w:t>
            </w:r>
            <w:r w:rsidR="00F517CB">
              <w:rPr>
                <w:rFonts w:ascii="Times New Roman" w:hAnsi="Times New Roman"/>
                <w:b/>
                <w:sz w:val="28"/>
                <w:szCs w:val="28"/>
              </w:rPr>
              <w:t>,</w:t>
            </w:r>
            <w:r w:rsidRPr="008223B7">
              <w:rPr>
                <w:rFonts w:ascii="Times New Roman" w:hAnsi="Times New Roman"/>
                <w:b/>
                <w:sz w:val="28"/>
                <w:szCs w:val="28"/>
              </w:rPr>
              <w:t xml:space="preserve"> або іншими документами, передбаченими чинним законодавством.</w:t>
            </w:r>
          </w:p>
          <w:p w:rsidR="00F517CB" w:rsidRPr="0026589F" w:rsidRDefault="00F517CB" w:rsidP="006F191A">
            <w:pPr>
              <w:ind w:firstLine="589"/>
              <w:jc w:val="both"/>
              <w:rPr>
                <w:rFonts w:ascii="Times New Roman" w:hAnsi="Times New Roman"/>
                <w:sz w:val="28"/>
                <w:szCs w:val="28"/>
              </w:rPr>
            </w:pPr>
          </w:p>
        </w:tc>
      </w:tr>
    </w:tbl>
    <w:p w:rsidR="0026589F" w:rsidRDefault="0026589F" w:rsidP="0026589F">
      <w:pPr>
        <w:spacing w:after="0" w:line="240" w:lineRule="auto"/>
        <w:rPr>
          <w:rFonts w:ascii="Times New Roman" w:hAnsi="Times New Roman"/>
          <w:sz w:val="28"/>
          <w:szCs w:val="28"/>
        </w:rPr>
      </w:pPr>
    </w:p>
    <w:p w:rsidR="007C7038" w:rsidRDefault="007C7038" w:rsidP="0026589F">
      <w:pPr>
        <w:spacing w:after="0" w:line="240" w:lineRule="auto"/>
        <w:rPr>
          <w:rFonts w:ascii="Times New Roman" w:hAnsi="Times New Roman"/>
          <w:sz w:val="28"/>
          <w:szCs w:val="28"/>
        </w:rPr>
      </w:pPr>
    </w:p>
    <w:p w:rsidR="00222E18" w:rsidRPr="00222E18" w:rsidRDefault="00222E18" w:rsidP="00222E18">
      <w:pPr>
        <w:spacing w:after="0" w:line="240" w:lineRule="auto"/>
        <w:jc w:val="both"/>
        <w:rPr>
          <w:rFonts w:ascii="Times New Roman" w:hAnsi="Times New Roman"/>
          <w:b/>
          <w:sz w:val="28"/>
          <w:szCs w:val="28"/>
          <w:lang w:eastAsia="ru-RU"/>
        </w:rPr>
      </w:pPr>
      <w:r w:rsidRPr="00222E18">
        <w:rPr>
          <w:rFonts w:ascii="Times New Roman" w:hAnsi="Times New Roman"/>
          <w:b/>
          <w:sz w:val="28"/>
          <w:szCs w:val="28"/>
          <w:lang w:eastAsia="ru-RU"/>
        </w:rPr>
        <w:t>Т.в.о. Голови Державної служби</w:t>
      </w:r>
    </w:p>
    <w:p w:rsidR="00222E18" w:rsidRPr="00222E18" w:rsidRDefault="00222E18" w:rsidP="00222E18">
      <w:pPr>
        <w:spacing w:after="0" w:line="240" w:lineRule="auto"/>
        <w:jc w:val="both"/>
        <w:rPr>
          <w:rFonts w:ascii="Times New Roman" w:hAnsi="Times New Roman"/>
          <w:b/>
          <w:bCs/>
          <w:sz w:val="28"/>
          <w:szCs w:val="28"/>
        </w:rPr>
      </w:pPr>
      <w:r w:rsidRPr="00222E18">
        <w:rPr>
          <w:rFonts w:ascii="Times New Roman" w:hAnsi="Times New Roman"/>
          <w:b/>
          <w:sz w:val="28"/>
          <w:szCs w:val="28"/>
          <w:lang w:eastAsia="ru-RU"/>
        </w:rPr>
        <w:t>геології та надр України</w:t>
      </w:r>
      <w:r w:rsidR="007B362C">
        <w:rPr>
          <w:rFonts w:ascii="Times New Roman" w:hAnsi="Times New Roman"/>
          <w:b/>
          <w:sz w:val="28"/>
          <w:szCs w:val="28"/>
          <w:lang w:eastAsia="ru-RU"/>
        </w:rPr>
        <w:t xml:space="preserve">                                                  </w:t>
      </w:r>
      <w:r w:rsidRPr="00222E18">
        <w:rPr>
          <w:rFonts w:ascii="Times New Roman" w:hAnsi="Times New Roman"/>
          <w:b/>
          <w:sz w:val="28"/>
          <w:szCs w:val="28"/>
          <w:lang w:eastAsia="ru-RU"/>
        </w:rPr>
        <w:t xml:space="preserve">                                                                              </w:t>
      </w:r>
      <w:r>
        <w:rPr>
          <w:rFonts w:ascii="Times New Roman" w:hAnsi="Times New Roman"/>
          <w:b/>
          <w:sz w:val="28"/>
          <w:szCs w:val="28"/>
          <w:lang w:eastAsia="ru-RU"/>
        </w:rPr>
        <w:t>Сергій ВЛАСЕНКО</w:t>
      </w:r>
    </w:p>
    <w:p w:rsidR="00222E18" w:rsidRPr="00222E18" w:rsidRDefault="00222E18" w:rsidP="00222E18">
      <w:pPr>
        <w:spacing w:after="0" w:line="240" w:lineRule="auto"/>
        <w:jc w:val="both"/>
        <w:rPr>
          <w:rFonts w:ascii="Times New Roman" w:hAnsi="Times New Roman"/>
          <w:sz w:val="24"/>
          <w:szCs w:val="24"/>
        </w:rPr>
      </w:pPr>
    </w:p>
    <w:p w:rsidR="00222E18" w:rsidRPr="00222E18" w:rsidRDefault="00222E18" w:rsidP="00222E18">
      <w:pPr>
        <w:spacing w:after="0" w:line="240" w:lineRule="auto"/>
        <w:jc w:val="both"/>
        <w:rPr>
          <w:rFonts w:ascii="Times New Roman" w:hAnsi="Times New Roman"/>
          <w:sz w:val="28"/>
          <w:szCs w:val="28"/>
        </w:rPr>
      </w:pPr>
      <w:r w:rsidRPr="00222E18">
        <w:rPr>
          <w:rFonts w:ascii="Times New Roman" w:hAnsi="Times New Roman"/>
          <w:sz w:val="28"/>
          <w:szCs w:val="28"/>
        </w:rPr>
        <w:t>___ _______________ 2026 р.</w:t>
      </w:r>
    </w:p>
    <w:p w:rsidR="007C7038" w:rsidRPr="0026589F" w:rsidRDefault="007C7038" w:rsidP="00222E18">
      <w:pPr>
        <w:spacing w:after="0" w:line="240" w:lineRule="auto"/>
        <w:rPr>
          <w:rFonts w:ascii="Times New Roman" w:hAnsi="Times New Roman"/>
          <w:sz w:val="28"/>
          <w:szCs w:val="28"/>
        </w:rPr>
      </w:pPr>
    </w:p>
    <w:sectPr w:rsidR="007C7038" w:rsidRPr="0026589F" w:rsidSect="00EF7B35">
      <w:headerReference w:type="default" r:id="rId6"/>
      <w:pgSz w:w="16838" w:h="11906" w:orient="landscape"/>
      <w:pgMar w:top="1417" w:right="850" w:bottom="850"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E9A" w:rsidRDefault="00916E9A" w:rsidP="00EF7B35">
      <w:pPr>
        <w:spacing w:after="0" w:line="240" w:lineRule="auto"/>
      </w:pPr>
      <w:r>
        <w:separator/>
      </w:r>
    </w:p>
  </w:endnote>
  <w:endnote w:type="continuationSeparator" w:id="0">
    <w:p w:rsidR="00916E9A" w:rsidRDefault="00916E9A" w:rsidP="00EF7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E9A" w:rsidRDefault="00916E9A" w:rsidP="00EF7B35">
      <w:pPr>
        <w:spacing w:after="0" w:line="240" w:lineRule="auto"/>
      </w:pPr>
      <w:r>
        <w:separator/>
      </w:r>
    </w:p>
  </w:footnote>
  <w:footnote w:type="continuationSeparator" w:id="0">
    <w:p w:rsidR="00916E9A" w:rsidRDefault="00916E9A" w:rsidP="00EF7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35" w:rsidRPr="00EF7B35" w:rsidRDefault="00EF7B35" w:rsidP="00EF7B35">
    <w:pPr>
      <w:pStyle w:val="a4"/>
      <w:jc w:val="center"/>
      <w:rPr>
        <w:rFonts w:ascii="Times New Roman" w:hAnsi="Times New Roman"/>
        <w:sz w:val="28"/>
        <w:szCs w:val="28"/>
      </w:rPr>
    </w:pPr>
    <w:r w:rsidRPr="00EF7B35">
      <w:rPr>
        <w:rFonts w:ascii="Times New Roman" w:hAnsi="Times New Roman"/>
        <w:sz w:val="28"/>
        <w:szCs w:val="28"/>
      </w:rPr>
      <w:fldChar w:fldCharType="begin"/>
    </w:r>
    <w:r w:rsidRPr="00EF7B35">
      <w:rPr>
        <w:rFonts w:ascii="Times New Roman" w:hAnsi="Times New Roman"/>
        <w:sz w:val="28"/>
        <w:szCs w:val="28"/>
      </w:rPr>
      <w:instrText>PAGE   \* MERGEFORMAT</w:instrText>
    </w:r>
    <w:r w:rsidRPr="00EF7B35">
      <w:rPr>
        <w:rFonts w:ascii="Times New Roman" w:hAnsi="Times New Roman"/>
        <w:sz w:val="28"/>
        <w:szCs w:val="28"/>
      </w:rPr>
      <w:fldChar w:fldCharType="separate"/>
    </w:r>
    <w:r w:rsidR="001F40FF">
      <w:rPr>
        <w:rFonts w:ascii="Times New Roman" w:hAnsi="Times New Roman"/>
        <w:noProof/>
        <w:sz w:val="28"/>
        <w:szCs w:val="28"/>
      </w:rPr>
      <w:t>5</w:t>
    </w:r>
    <w:r w:rsidRPr="00EF7B35">
      <w:rPr>
        <w:rFonts w:ascii="Times New Roman" w:hAnsi="Times New Roman"/>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89F"/>
    <w:rsid w:val="00032074"/>
    <w:rsid w:val="00042849"/>
    <w:rsid w:val="00072C8B"/>
    <w:rsid w:val="00087BB1"/>
    <w:rsid w:val="000B6615"/>
    <w:rsid w:val="0010621E"/>
    <w:rsid w:val="001575CF"/>
    <w:rsid w:val="001A66A3"/>
    <w:rsid w:val="001D387C"/>
    <w:rsid w:val="001E42AA"/>
    <w:rsid w:val="001F40FF"/>
    <w:rsid w:val="00222E18"/>
    <w:rsid w:val="00260C8E"/>
    <w:rsid w:val="0026589F"/>
    <w:rsid w:val="00284D5D"/>
    <w:rsid w:val="002D31D2"/>
    <w:rsid w:val="003B49EA"/>
    <w:rsid w:val="003F17DA"/>
    <w:rsid w:val="0048647B"/>
    <w:rsid w:val="00516CB3"/>
    <w:rsid w:val="005C1AC0"/>
    <w:rsid w:val="00625D1E"/>
    <w:rsid w:val="0064357F"/>
    <w:rsid w:val="00662C37"/>
    <w:rsid w:val="006D06D7"/>
    <w:rsid w:val="006F191A"/>
    <w:rsid w:val="00704353"/>
    <w:rsid w:val="00704873"/>
    <w:rsid w:val="007306B7"/>
    <w:rsid w:val="00740327"/>
    <w:rsid w:val="007443A2"/>
    <w:rsid w:val="00783728"/>
    <w:rsid w:val="007B10B0"/>
    <w:rsid w:val="007B362C"/>
    <w:rsid w:val="007C7038"/>
    <w:rsid w:val="00817750"/>
    <w:rsid w:val="008223B7"/>
    <w:rsid w:val="00874B14"/>
    <w:rsid w:val="00886541"/>
    <w:rsid w:val="008A703F"/>
    <w:rsid w:val="008E5BF5"/>
    <w:rsid w:val="00916E9A"/>
    <w:rsid w:val="009D36EA"/>
    <w:rsid w:val="00A01294"/>
    <w:rsid w:val="00A075B4"/>
    <w:rsid w:val="00B83B8A"/>
    <w:rsid w:val="00BA4913"/>
    <w:rsid w:val="00C331C1"/>
    <w:rsid w:val="00CF4AF2"/>
    <w:rsid w:val="00D203B4"/>
    <w:rsid w:val="00E614E6"/>
    <w:rsid w:val="00EB74A8"/>
    <w:rsid w:val="00ED38E6"/>
    <w:rsid w:val="00EE510A"/>
    <w:rsid w:val="00EF7B35"/>
    <w:rsid w:val="00F517CB"/>
    <w:rsid w:val="00FD0D07"/>
    <w:rsid w:val="00FD2A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589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F7B35"/>
    <w:pPr>
      <w:tabs>
        <w:tab w:val="center" w:pos="4819"/>
        <w:tab w:val="right" w:pos="9639"/>
      </w:tabs>
      <w:spacing w:after="0" w:line="240" w:lineRule="auto"/>
    </w:pPr>
  </w:style>
  <w:style w:type="paragraph" w:styleId="a6">
    <w:name w:val="footer"/>
    <w:basedOn w:val="a"/>
    <w:link w:val="a7"/>
    <w:uiPriority w:val="99"/>
    <w:unhideWhenUsed/>
    <w:rsid w:val="00EF7B35"/>
    <w:pPr>
      <w:tabs>
        <w:tab w:val="center" w:pos="4819"/>
        <w:tab w:val="right" w:pos="9639"/>
      </w:tabs>
      <w:spacing w:after="0" w:line="240" w:lineRule="auto"/>
    </w:pPr>
  </w:style>
  <w:style w:type="character" w:customStyle="1" w:styleId="a5">
    <w:name w:val="Верхний колонтитул Знак"/>
    <w:basedOn w:val="a0"/>
    <w:link w:val="a4"/>
    <w:uiPriority w:val="99"/>
    <w:locked/>
    <w:rsid w:val="00EF7B35"/>
    <w:rPr>
      <w:rFonts w:cs="Times New Roman"/>
    </w:rPr>
  </w:style>
  <w:style w:type="character" w:customStyle="1" w:styleId="a7">
    <w:name w:val="Нижний колонтитул Знак"/>
    <w:basedOn w:val="a0"/>
    <w:link w:val="a6"/>
    <w:uiPriority w:val="99"/>
    <w:locked/>
    <w:rsid w:val="00EF7B3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1185</Words>
  <Characters>6760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2026-10-06T11:34:00Z</dcterms:created>
  <dcterms:modified xsi:type="dcterms:W3CDTF">2026-10-06T11:34:00Z</dcterms:modified>
</cp:coreProperties>
</file>